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703/2021 vom 28. Juni 2022</w:t>
      </w:r>
    </w:p>
    <w:p>
      <w:r>
        <w:t>Bundesgericht, 2022-06-28, DE</w:t>
      </w:r>
    </w:p>
    <w:p>
      <w:r>
        <w:rPr>
          <w:b/>
        </w:rPr>
        <w:t xml:space="preserve">Quelle: </w:t>
      </w:r>
      <w:r>
        <w:t>https://mcp.opencaselaw.ch/entscheid/bger_8C_703_2021</w:t>
      </w:r>
    </w:p>
    <w:p>
      <w:r>
        <w:t>FR: TF 8C 703/2021 du 28 juin 2022</w:t>
      </w:r>
    </w:p>
    <w:p>
      <w:r>
        <w:t>IT: TF 8C 703/2021 del 28 giugno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IV-Stelle am 20. Januar 2020 verfügte Verneinung eines Rentenanspruchs bestätigte.</w:t>
      </w:r>
    </w:p>
    <w:p>
      <w:r>
        <w:rPr>
          <w:b/>
        </w:rPr>
        <w:t>E. 3</w:t>
      </w:r>
    </w:p>
    <w:p>
      <w:r>
        <w:t>Das kantonale Gericht hat die für die Beurteilung des Leistungsanspruchs massgebenden Grundlagen richtig dargelegt. Darauf wird verwiesen ( Art. 109 Abs. 3 BGG ).</w:t>
      </w:r>
    </w:p>
    <w:p>
      <w:r>
        <w:rPr>
          <w:b/>
        </w:rPr>
        <w:t>E. 4</w:t>
      </w:r>
    </w:p>
    <w:p>
      <w:r>
        <w:t>Die Vorinstanz erwog, die IV-Stelle sei auf die Wiederanmeldung des Beschwerdeführers vom 17. Mai 2018 eingetreten und habe das polydisziplinäre MGSG-Gutachten vom 9. September 2019 eingeholt. In Einklang mit der IV-Stelle stellte sie auf das Gutachten ab, in welchem als Diagnosen mit Auswirkung auf die Arbeitsfähigkeit eine Schmerzpersistenz nach Quetschtrauma des Daumenendglieds rechts 2005, eine Läsion des medialen Restmeniskus sowie eine Chondropathie des medialen Femurcondylus, eine rezidivierende depressive Störung, gegenwärtig mittelgradige Episode bei Zustand nach Anpassungsstörungen mit längerer depressiver Reaktion (ICD-10: F33.1 und F43.21) sowie eine Agoraphobie (ICD-10: F40.0) erhoben wurden. Gemäss den beweiswertigen orthopädischen und neurologischen Teilgutachten sei der Beschwerdeführer in einer adaptierten Tätigkeit aus somatischer Sicht voll arbeitsfähig. Der psychiatrische Gutachter Dr. med. B.________, Facharzt für Psychiatrie und Psychotherapie, habe festgehalten, seit einer Operation der Lendenwirbelsäule im November 2017 lasse sich eine Verschlechterung des psychischen Zustandsbildes mit anhaltender mittelgradiger depressiver Episode erheben. Seine interdisziplinär massgebende Einschätzung, wonach in angepassten Tätigkeiten bei zeitlich voller Arbeitsfähigkeit eine Leistungseinbusse von 30 % bestehe, erscheine schlüssig und nachvollziehbar. Die nach dem strukturierten Beweisverfahren massgeblichen Indikatoren seien ebenfalls berücksichtigt worden, weshalb von einer 70%igen Arbeitsfähigkeit in angepassten Tätigkeiten auszugehen sei. In erwerblicher Hinsicht bejahte die Vorinstanz die Verwertbarkeit der Restarbeitsfähigkeit und bestätigte das von der IV-Stelle anhand der Tabellenlöhne der Lohnstrukturerhebung (LSE) des Bundesamtes für Statistik des Jahres 2016 (Tabelle TA1, Kompetenzniveau 1, Männer) ermittelte Validen- und Invalideneinkommen von Fr. 66'804.- bzw. Fr. 46'763.-. Einen leidensbedingten Abzug erachtete sie als nicht gerechtfertigt, womit im Einkommensvergleich eine Erwerbseinbusse von Fr. 20'041.- und damit ein Invaliditätsgrad von rund 30 % resultierte.</w:t>
      </w:r>
    </w:p>
    <w:p>
      <w:r>
        <w:rPr>
          <w:b/>
        </w:rPr>
        <w:t>E. 5</w:t>
      </w:r>
    </w:p>
    <w:p>
      <w:r>
        <w:t>Was der Beschwerdeführer hiergegen vorbringt, ist offensichtlich unbegründet.</w:t>
      </w:r>
    </w:p>
    <w:p>
      <w:r>
        <w:rPr>
          <w:b/>
        </w:rPr>
        <w:t>E. 5.1</w:t>
      </w:r>
    </w:p>
    <w:p>
      <w:r>
        <w:t>Soweit er den Beweiswert des psychiatrischen Teilgutachtens des Dr. med. B.________ bestreitet, weil dieser sich nicht mit dem Bericht der behandelnden med. pract. C.________, Fachärztin für Psychiatrie und Psychotherapie vom 6. Juli 2018 auseinandergesetzt habe, kann ihm nicht gefolgt werden. Nicht nur ging Dr. med. B.________ auf den fraglichen Bericht ein, sondern schloss sich der Diagnosestellung der med. pract. C.________ sogar ausdrücklich an. Dass er hierbei, anders als die behandelnde Psychiaterin, betreffend die anhaltende Schmerzstörung (ICD-10: F45.4) nicht von der Unterkategorie einer chronischen Schmerzstörung mit somatischen und psychischen Faktoren (ICD-10: F45.41), sondern von einer anhaltenden somatoformen Schmerzstörung (ICD-10: F45.40) ausging, vermag keine konkreten Indizien gegen die Zuverlässigkeit seines Teilgutachtens zu begründen, stehen für die Belange der Invalidenversicherung ohnehin nicht die diagnostischen Einschätzungen, sondern die Auswirkungen der Erkrankung auf die Arbeitsfähigkeit im Vordergrund ( BGE 136 V 279 E. 3.2.1). In diesem Zusammenhang begründete der Gutachter unter Verweis auf die verbliebenen Ressourcen des Beschwerdeführers im Haushalt, in der Gestaltung des Alltags und im Sozialleben denn auch explizit und nachvollziehbar, weshalb er der von med. pract. C.________ beschriebenen vollen Arbeitsunfähigkeit nur "teilweise" zustimmen könne (zur Erfahrungstatsache, wonach behandelnde Ärzte im Hinblick auf ihre auftragsrechtliche Vertrauensstellung in Zweifelsfällen mitunter eher zugunsten ihrer Patienten aussagen vgl. BGE 135 V 465 E. 4.5; 125 V 351 E. 3a/cc; Urteil 8C_736/2021 vom 22. März 2022 E. 5.2). Entgegen dem Beschwerdeführer durfte die Vorinstanz demnach in zulässiger antizipierter Beweiswürdigung (vgl. zum Ganzen BGE 144 V 361 E. 6.5) auf das psychiatrische Teilgutachten des Dr. med. B.________ und die von ihm postulierte Arbeitsfähigkeit abstellen, ohne den Untersuchungsgrundsatz oder sonstiges Bundesrecht zu verletzen.</w:t>
      </w:r>
    </w:p>
    <w:p>
      <w:r>
        <w:rPr>
          <w:b/>
        </w:rPr>
        <w:t>E. 5.2</w:t>
      </w:r>
    </w:p>
    <w:p>
      <w:r>
        <w:t>In erwerblicher Hinsicht macht der Beschwerdeführer zunächst geltend, seine Restarbeitsfähigkeit nicht verwerten zu können. Dabei beschränkt er sich jedoch auf eine wortwörtliche Wiederholung der bereits im vorinstanzlichen Verfahren vorgebrachten Argumente. Mit diesen hat sich die Vorinstanz bereits einlässlich auseinandergesetzt und erwogen, dass trotz der beschwerdeweise geltend gemachten Einschränkungen, des Alters sowie der langjährigen Abwesenheit des Beschwerdeführers vom Erwerbsleben nicht davon ausgegangen werden könne, dass auf dem hypothetisch ausgeglichenen Arbeitsmarkt keine geeigneten Stellen im Bereich Produktion oder Lagerbewirtschaftung - etwa einfache Überwachungs-, Prüf- und Kontrolltätigkeiten oder die Bedienung von (halb-) automatischen Maschinen oder Produktionseinheiten - existierten. Mit diesen einleuchtenden und schlüssigen vorinstanzlichen Erwägungen, auf welche verwiesen wird, setzt sich der Beschwerdeführer nicht auseinander. Weitere Erörterungen erübrigen sich an dieser Stelle.</w:t>
      </w:r>
    </w:p>
    <w:p>
      <w:r>
        <w:rPr>
          <w:b/>
        </w:rPr>
        <w:t>E. 5.3</w:t>
      </w:r>
    </w:p>
    <w:p>
      <w:r>
        <w:t>Auch die Rügen zum leidensbedingten Abzug stellen grösstenteils eine wörtliche Wiederholung der Beschwerde an das kantonale Gericht dar. Letzteres hat auch in diesem Zusammenhang einlässlich dargelegt, weshalb die vom Beschwerdeführer geltend gemachten Faktoren, namentlich die leidensbedingten Einschränkungen, die langjährige Abwesenheit vom Berufsleben, die schlechten Deutschkenntnisse, die fehlende berufliche Qualifikation und die ausländische Staatsangehörigkeit keinen leidensbdingten Abzug zu rechtfertigen vermögen. Auch darauf kann verwiesen werden. Soweit der Beschwerdeführer dafür hält, kein Deutsch zu können, weshalb er bei der Begutachtung bei der MGSG auf einen Gutachter angewiesen gewesen sei, ist einerseits darauf hinzuweisen, dass mangelnde Sprachkenntnisse, wie von der Vorinstanz dargelegt, beim hier anwendbaren Kompetenzniveau 1 regelmässig keinen Tabellenlohnabzug begründen (Urteil 9C_702/2020 vom 1. Februar 2021 E. 6.3.2). Zum anderen erhellt aus den Akten, dass namentlich die mehrstündige neurologische Begutachtung inkl. Exploration überwiegend auf Deutsch erfolgte, und die Sprachverständigung durch den Dolmetscher gemäss dem neurologischen Gutachter nur an verschiedenen Stellen erleichtert werden musste. Inwiefern die vorinstanzliche Schlussfolgerung, der Beschwerdeführer könne sich durchaus auf Deutsch verständigen, offensichtlich unrichtig, d.h. geradezu willkürlich (vgl. BGE 147 I 73 E. 2.2) sein sollte, ist nicht ersichtlich und wird in der Beschwerde auch nicht rechtsgenüglich dargetan.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Die Gerichtskosten werden dem unterliegenden Beschwerdeführer auferlegt ( Art. 66 Abs. 1 BGG ). Da die Beschwerde offensichtlich unbegründet ist (E. 6 hiervor), ist sie als aussichtslos im Sinne von Art. 64 Abs. 1 BGG zu bezeichnen (vgl. Urteil 8C_480/2021 vom 6. Dezember 2021 E. 6 mit Hinweisen).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