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8C_701/2013 vom 14. März 2014</w:t>
      </w:r>
    </w:p>
    <w:p>
      <w:r>
        <w:t>Bundesgericht, 2014-03-14, DE</w:t>
      </w:r>
    </w:p>
    <w:p>
      <w:r>
        <w:rPr>
          <w:b/>
        </w:rPr>
        <w:t xml:space="preserve">Quelle: </w:t>
      </w:r>
      <w:r>
        <w:t>https://mcp.opencaselaw.ch/entscheid/bger_8C_701_2013</w:t>
      </w:r>
    </w:p>
    <w:p>
      <w:r>
        <w:t>FR: TF 8C_701/2013 du 14 mars 2014</w:t>
      </w:r>
    </w:p>
    <w:p>
      <w:r>
        <w:t>IT: TF 8C_701/2013 del 14 marzo 2014</w:t>
      </w:r>
    </w:p>
    <w:p>
      <w:pPr>
        <w:pStyle w:val="Heading2"/>
      </w:pPr>
      <w:r>
        <w:t>Erwägungen</w:t>
      </w:r>
    </w:p>
    <w:p>
      <w:r>
        <w:rPr>
          <w:b/>
        </w:rPr>
        <w:t>E. 1.1</w:t>
      </w:r>
    </w:p>
    <w:p>
      <w:r>
        <w:t>Das Bundesgericht prüft von Amtes wegen und mit freier Kognition, ob ein Rechtsmittel zulässig ist ( BGE 137 III 417 E. 1 S. 417 mit Hinweisen); immerhin muss die Eingabe auch bezüglich der Eintretensvoraussetzungen hinreichend begründet sein ( Art. 42 Abs. 1 und 2 BGG ; BGE 134 II 120 E. 1 S. 121; Urteil 8C_500/2012 vom 22. November 2012 E. 1 mit Hinweisen).</w:t>
      </w:r>
    </w:p>
    <w:p>
      <w:r>
        <w:rPr>
          <w:b/>
        </w:rPr>
        <w:t>E. 1.1.1</w:t>
      </w:r>
    </w:p>
    <w:p>
      <w:r>
        <w:t>Beim angefochtenen Rückweisungsentscheid handelt es sich - die Rückweisung dient einzig der Umsetzung des oberinstanzlich Angeordneten im Sinne der frankenmässigen Berechnung der seit 23. Juli 2012 angefallenen und inskünftig zu erstattenden Pflege- und Nebenkosten - um einen Endentscheid einer letzten kantonalen Instanz gemäss Art. 86 Abs. 1 lit. d in Verbindung mit Art. 90 BGG (Urteil 9C_684/2007 vom 27. Dezember 2007 E. 1.1 mit Hinweisen, in: SVR 2008 IV Nr. 39 S. 131).</w:t>
      </w:r>
    </w:p>
    <w:p>
      <w:r>
        <w:rPr>
          <w:b/>
        </w:rPr>
        <w:t>E. 1.1.2</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1.1.3</w:t>
      </w:r>
    </w:p>
    <w:p>
      <w:r>
        <w:t>Die Beschwerdeführerin beruft sich für ihre Legitimation auf Art. 89 Abs. 1 BGG und somit auf das allgemeine Beschwerderecht.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1.3.1 S. 149; 137 IV 269 E. 1.4 S. 273 f. ; 136 I 265 E. 1.4 S. 268; Urteil 8C_500/2012 vom 22. November 2012 E. 2.2.1). Das ist namentlich der Fall, wenn es um Eingriffe in das Finanz- oder Verwaltungsvermögen geht, indem die Gemeinde als Verfügungsadressatin zu finanziellen Leistungen verpflichtet wird (Urteil 1P.481/1998 vom 11. März 1999 E. 1c). Vorinstanzlich wurde entschieden, dass die Beschwerdeführerin die in Zusammenhang mit der Fremdplatzierung der Beschwerdegegnerin seit 23. Juli 2012 angefallenen und künftigen Pflege- sowie Nebenkosten zu übernehmen hat. Sie ist daher zur Beschwerdeführung legitimiert.</w:t>
      </w:r>
    </w:p>
    <w:p>
      <w:r>
        <w:rPr>
          <w:b/>
        </w:rPr>
        <w:t>E. 1.2</w:t>
      </w:r>
    </w:p>
    <w:p>
      <w:r>
        <w:t>Auf die fristgerecht eingereichte Beschwerde ist nach dem Gesagten einzutreten ( Art. 100 Abs. 1 BGG ).</w:t>
      </w:r>
    </w:p>
    <w:p>
      <w:r>
        <w:rPr>
          <w:b/>
        </w:rPr>
        <w:t>E. 2.1</w:t>
      </w:r>
    </w:p>
    <w:p>
      <w:r>
        <w:t>Die Beschwerde kann wegen Rechtsverletzung gemäss Art. 95 f. BGG erhoben werden. Ausserhalb des Anwendungsbereichs von Art. 95 lit. c-e BGG , welche Vorschriften hier nicht zum Tragen kommen, bleibt die Kognition des Bundesgerichts bezüglich des kantonalen Rechts unter dem Bundesgerichtsgesetz im Vergleich zum früheren Recht unverändert. Die Verletzung kantonaler Bestimmungen bildet nur dann einen zulässigen Beschwerdegrund, wenn eine derartige Rechtsverletzung einen Verstoss gegen Bundesrecht im Sinne von Art. 95 lit. a BGG oder gegen Völkerrecht im Sinne von Art. 95 lit. b BGG zur Folge hat ( BGE 133 II 249 E. 1.2.1 S. 251 f.; Urteil 8C_1053/2009 vom 16. August 2010 E. 2.2). Dies gilt im Bereich der Sozialhilfe auch, soweit das massgebliche kantonale Unterstützungsrecht - wie im vorliegenden Fall (vgl. E. 3.2 hiernach) - auf Normen des ZUG verweist. Letztere gelangen dadurch als ergänzendes kantonales Recht zur Anwendung.</w:t>
      </w:r>
    </w:p>
    <w:p>
      <w:r>
        <w:rPr>
          <w:b/>
        </w:rPr>
        <w:t>E. 2.2</w:t>
      </w:r>
    </w:p>
    <w:p>
      <w:r>
        <w:t>Das Bundesgericht wendet das Recht grundsätzlich von Amtes wegen an ( Art. 106 Abs. 1 BGG ). Für die Verletzung von Grundrechten und von kantonalem sowie interkantonalem Recht gilt demgegenüber eine qualifizierte Rügepflicht ( Art. 106 Abs. 2 BGG ; zum Ganzen: BGE 138 I 274 E. 1.6 S. 280 mit Hinweisen). Das Bundesgericht untersucht nicht von sich aus, ob der angefochtene kantonale Entscheid die Grundrechte oder kantonales und interkantonales Recht verletzt, sondern prüft nur rechtsgenügend vorgebrachte, klar erhobene und, soweit möglich, belegte Rügen; die erhobenen Rügen müssen zudem in der Beschwerdeschrift selber enthalten sein; der blosse Verweis auf Ausführungen in anderen Rechtsschriften oder auf die Akten reicht nicht aus. Auf ungenügend begründete Rügen und bloss allgemein gehaltene, appellatorische Kritik am angefochtenen Entscheid tritt es nicht ein ( BGE 133 II 396 E. 3.2 S. 400 ; 130 I 258 E. 1.3 S. 262 ; 129 I 113 E. 2.1 S. 120; je mit Hinweisen; Urteil 8C_451/2013 vom 20. November 2013 E. 2.3 mit Hinweisen).</w:t>
      </w:r>
    </w:p>
    <w:p>
      <w:r>
        <w:rPr>
          <w:b/>
        </w:rPr>
        <w:t>E. 2.3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305 E. 4.3 S. 319; 138 IV 13 E. 5.1 S. 22; je mit Hinweisen).</w:t>
      </w:r>
    </w:p>
    <w:p>
      <w:r>
        <w:rPr>
          <w:b/>
        </w:rPr>
        <w:t>E. 3.1</w:t>
      </w:r>
    </w:p>
    <w:p>
      <w:r>
        <w:t>Bedürftige werden von ihrem Wohnkanton unterstützt (Art. 115 erster Satz BV). Der Bund regelt die Ausnahmen und Zuständigkeiten (Art. 115 zweiter Satz BV). Das ZUG präzisiert in dem durch die Verfassung vorgegebenen Rahmen, welcher Kanton für die Fürsorge zuständig ist, und es regelt den Ersatz von Unterstützungskosten unter den Kantonen (vgl. Art. 1 Abs. 1 und 2 ZUG ).</w:t>
      </w:r>
    </w:p>
    <w:p>
      <w:r>
        <w:rPr>
          <w:b/>
        </w:rPr>
        <w:t>E. 3.2</w:t>
      </w:r>
    </w:p>
    <w:p>
      <w:r>
        <w:t>Im innerkantonalen Verhältnis ist gemäss Art. 5 Abs. 1 des graubündnerischen Gesetzes vom 3. Dezember 1978 über die Unterstützung Bedürftiger (Kantonales Unterstützungsgesetz, BR 546.250) diejenige politische Gemeinde unterstützungspflichtig, in welcher die bedürftige Person ihren Wohnsitz hat. Die Begründung und Aufgabe des Wohnsitzes richten sich kraft des in Art. 6 Abs. 1 des Kantonalen Unterstützungsgesetzes normierten Verweises nach den Grundsätzen, die gemäss ZUG im interkantonalen Verhältnis gelten.</w:t>
      </w:r>
    </w:p>
    <w:p>
      <w:r>
        <w:rPr>
          <w:b/>
        </w:rPr>
        <w:t>E. 3.2.1</w:t>
      </w:r>
    </w:p>
    <w:p>
      <w:r>
        <w:t>Die unterstützungsbedürftige Person hat ihren Wohnsitz im Sinne des ZUG (Unterstützungswohnsitz), welcher nicht zwingend identisch ist mit dem zivilrechtlichen Wohnsitz (Urteil 2A.134/2006 vom 29. Juni 2006 E. 4.1 mit Hinweis), in dem Kanton, in dem sie sich mit der Absicht dauernden Verbleibens aufhält. Dieser Kanton wird als Wohnkanton bezeichnet ( Art. 4 Abs. 1 ZUG ). Wer aus dem Kanton wegzieht, verliert nach Art. 9 Abs. 1 ZUG den bisherigen Unterstützungswohnsitz ( BGE 139 V 433 E. 3.2.1 S. 435).</w:t>
      </w:r>
    </w:p>
    <w:p>
      <w:r>
        <w:rPr>
          <w:b/>
        </w:rPr>
        <w:t>E. 3.2.2</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 1 und 2, wenn es dauernd nicht bei den Eltern oder einem Elternteil wohnt (Abs. 3 lit. c).</w:t>
      </w:r>
    </w:p>
    <w:p>
      <w:r>
        <w:rPr>
          <w:b/>
        </w:rPr>
        <w:t>E. 3.2.2.1</w:t>
      </w:r>
    </w:p>
    <w:p>
      <w:r>
        <w:t>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Sorge (Urteil 2A.134/2006 vom 29. Juni 2006 E. 4.3.1;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 BGE 139 V 433 E. 3.2.2 S. 436 mit Hinweisen).</w:t>
      </w:r>
    </w:p>
    <w:p>
      <w:r>
        <w:rPr>
          <w:b/>
        </w:rPr>
        <w:t>E. 3.2.2.2</w:t>
      </w:r>
    </w:p>
    <w:p>
      <w:r>
        <w:t>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enger Kontakt zwischen Kindern und Eltern aufrecht 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des Bundesrates vom 17. November 1976 zu einem Bundesgesetz über die Zuständigkeit für die Unterstützung Bedürftiger [BBl 1976 III 1193 ff., insb. 1201]; Urteil 2A.134/2006 vom 29. Juni 2006 E. 4.3.1). Vorübergehend nicht bei den Eltern lebt ein Kind beispielsweise im Rahmen von Ferien, Spital- oder Kuraufenthalten, Abklärungen der Invalidenversicherung, für die Dauer der Unpässlichkeit eines Elternteils oder bei auswärtiger Schul- oder Berufsausbildung. Wenn die Eltern ihr gesundheitlich versehrtes Kind selbst in einem Sonderschulheim untergebracht haben, sich regelmässig um es kümmern, das Kind mit allem Nötigen versorgen, es häufig besuchen oder es zu sich auf Besuch und in die Ferien nehmen, nach Möglichkeit die Schul- und Heimkosten oder wenigstens Beiträge daran direkt bezahlen und die Absicht haben, das Kind nach einer bestimmten Zeit bzw. nach Beendigung der Sonderschulbedürftigkeit wieder zu sich zurückzunehmen, lebt das Kind nur vorübergehend nicht bei den Eltern. Dies gilt insbesondere beim sog. "Wocheninternat", bei welchem das Kind die Wochenenden regelmässig bei den Eltern verbringt. Anders verhält es sich, wenn die Eltern oder ein Elternteil sich nicht ernstlich um das fremdplatzierte Kind kümmern bzw. die elterliche Sorge faktisch nicht wahrnehmen. In diesem Fall sind in der Regel auch die Voraussetzungen zur Entziehung der elterlichen Sorge nach Art. 311 Abs. 1 Ziff. 2 ZGB gegeben. Dass die elterliche Sorge tatsächlich entzogen wurde, ist indessen für die Begründung des eigenen Unterstützungswohnsitzes nach Art. 7 Abs. 3 lit. c ZUG nicht erforderlich. Erfolgt eine Fremdplatzierung demgegenüber auf unbestimmte Zeit oder für mehr als sechs Monate, so kann grundsätzlich von ihrer Dauerhaftigkeit ausgegangen werden. Zudem ist der Zweck des Aufenthaltes massgebend: Therapeutische und der Abklärung dienende Massnahmen sprechen gegen und Kindesschutzmassnahmen tendenziell für eine dauernde Fremdplatzierung (vgl. Thomet, a.a.O., Rz. 132).</w:t>
      </w:r>
    </w:p>
    <w:p>
      <w:r>
        <w:rPr>
          <w:b/>
        </w:rPr>
        <w:t>E. 4.1</w:t>
      </w:r>
    </w:p>
    <w:p>
      <w:r>
        <w:t>Fraglich ist, ob die Beschwerdegegnerin seit dem 27. Februar 2012 (vorläufiger Entzug der elterlichen Obhut, Fremdplatzierung im Sinne einer vorsorglichen Kindesschutzmassnahme in einer SOS-Pflegefamilie) oder aber erst seit dem definitiven Obhutsentzug und der Begründung des Dauerpflegeverhältnisses als dauerhaft fremdplatziert im Sinne des Art. 5 Abs. 1 und Art. 6 Abs. 1 des Kantonalen Unterstützungsgesetzes in Verbindung mit Art. 7 Abs. 3 lit. c und Abs. 1 ZUG zu gelten hat.</w:t>
      </w:r>
    </w:p>
    <w:p>
      <w:r>
        <w:rPr>
          <w:b/>
        </w:rPr>
        <w:t>E. 4.1.1</w:t>
      </w:r>
    </w:p>
    <w:p>
      <w:r>
        <w:t>Das kantonale Gericht hat den eigenständigen Unterstützungswohnsitz der Beschwerdegegnerin in der Gemeinde X.________ im Wesentlichen damit begründet, es sei nicht entscheidend, dass die Vormundschaftsbehörde mit Präsidialverfügung vom 27. Februar 2012 eine "vorläufige Massnahme" angeordnet habe. Massgebend sei vielmehr, dass die Beschwerdegegnerin seit diesem Zeitpunkt nachweislich nicht mehr bei den Eltern wohne, sondern fremdplatziert sei. Mit einstweiligem Schutz sei nicht gemeint, dass die Fremdplatzierung nicht dauerhaft sein solle. Es sei vorliegend darum gegangen, die Beschwerdegegnerin unmittelbar auf unbestimmte Zeit fremd zu platzieren und dieses Vorgehen durch kinderpsychologische Abklärungen nachträglich als richtig bestätigen zu lassen. Der Präsident der Vormundschaftsbehörde habe mit seinem Entscheid vom 27. Februar 2012 auf Grund der akuten Kindswohlgefährdung die elterliche Obhut klarerweise ohne Befristung und ohne jegliche Bedingung aufgehoben und die Fremdplatzierung veranlasst.</w:t>
      </w:r>
    </w:p>
    <w:p>
      <w:r>
        <w:rPr>
          <w:b/>
        </w:rPr>
        <w:t>E. 4.1.2</w:t>
      </w:r>
    </w:p>
    <w:p>
      <w:r>
        <w:t>In der Beschwerde wird dieser Argumentation im Kern entgegengehalten, die nach Massgabe von Art. 7 Abs. 3 lit. c ZUG dauerhafte Fremdplatzierung sei erst durch Beschluss der Vormundschaftsbehörde vom 6./28. Juni 2012 angeordnet und durch die anschliessende Dauerplatzierung am 23. Juli 2012 bei der Pflegefamilie in Q.________ umgesetzt worden. Zu diesem Zeitpunkt habe kein Elternteil mehr Wohnsitz in X.________ gehabt. X.________ könne daher nicht der abgeleitete selbstständige Unterstützungswohnsitz der Beschwerdegegnerin bilden. Indem die Vorinstanz vor diesem Hintergrund zu einem abweichenden Ergebnis gelangt sei, habe sie kantonales Recht (Art. 5 Abs. 1 und Art. 6 Abs. 1 des Kantonalen Unterstützungsgesetzes in Verbindung mit Art. 7 Abs. 3 lit. c und Abs. 1 ZUG ) willkürlich ausgelegt und angewendet und dadurch gegen Art. 115 und 9 BV verstossen.</w:t>
      </w:r>
    </w:p>
    <w:p>
      <w:r>
        <w:rPr>
          <w:b/>
        </w:rPr>
        <w:t>E. 4.2.1</w:t>
      </w:r>
    </w:p>
    <w:p>
      <w:r>
        <w:t>Auf Gefährdungsmeldung vom 25. Februar 2012 hin, welche der Vormundschaftsbehörde mit Situationsbericht und Antrag der zuständigen Berufsbeiständin zuging, verfügte deren Präsident am 27. Februar 2012 gestützt auf Art. 53 Abs. 1 des Einführungsgesetzes des Kantons Graubünden vom 12. Juni 1994 zum Schweizerischen Zivilgesetzbuch (EGzZGB, BR 210.100) im Rahmen einer vorläufigen Massnahme den Entzug der elterlichen Obhut gemäss Art. 310 Abs. 1 ZGB und die über den Verein für familienergänzende Kinderbetreuung organisierte Platzierung der Beschwerdegegnerin bis auf Weiteres in einer SOS-Kinderfamilie. Einen Tag später wurde über das Kind eine Erziehungsbeistandschaft errichtet. Als Grund für diese Vorkehren nannte die Behörde die akute Gefährdungslage, in der sich das Mädchen im damaligen Zeitpunkt befand (gewalttätiger älterer Bruder, finanziell angespannte Lage der Eltern, deren Trennungsabsichten etc.). Mit Beschluss vom 6./28. Juni 2012 ordnete die Vormundschaftsbehörde, nach Durchführung des ordentlichen Verfahrens im Sinne der Einholung eines Gutachtens der KJP Graubünden vom 8. Juni 2012, den definitiven Obhutsentzug und die dauerhafte Fremdplatzierung der Beschwerdegegnerin an.</w:t>
      </w:r>
    </w:p>
    <w:p>
      <w:r>
        <w:rPr>
          <w:b/>
        </w:rPr>
        <w:t>E. 4.2.2</w:t>
      </w:r>
    </w:p>
    <w:p>
      <w:r>
        <w:t>Für die Frage der Dauerhaftigkeit der Fremdplatzierung im Sinne des Art. 7 Abs. 3 lit. c ZUG entscheidwesentlich ist nach dem hievor Dargelegten, ob bereits bei</w:t>
      </w:r>
    </w:p>
    <w:p>
      <w:r>
        <w:t>Beginn der Fremdplatzierung von einer anhaltenden Vorkehr ausgegangen worden war. In casu erfolgte der elterliche Obhutsentzug sowie die Fremdplatzierung der Beschwerdegegnerin durch die Vormundschaftsbehörde anfänglich gestützt auf Art. 53 Abs. 1 EGzZGB. Danach kann in Fällen, in denen Gefahr in Verzug liegt und die Vormundschaftsbehörde zum Einschreiten befugt ist, der Präsident von sich aus die erforderlichen vorläufigen Massnahmen treffen. Es handelte sich somit zwar um auf unbestimmte Zeit angelegte Kindesschutzmassnahmen, welcher Umstand eher eine dauerhafte Fremdplatzierung annehmen liesse (vgl. E. 3.2.2.2 in fine). Zu beachten gilt es jedoch, dass die akute familiäre Gefährdungssituation, in der sich die Beschwerdegegnerin damals befand, ein rasches Einschreiten seitens der zuständigen Behörden notwendig machte, ohne dass vorgängig die für die endgültige Klärung der Sachlage unabdingbaren vertieften Erhebungen hatten vorgenommen werden können. Die im Februar 2012 verfügte Fremdplatzierung stellte demnach eine einstweilige vorsorgliche Vorkehr dar, um die Beschwerdegegnerin raschestmöglich vor weiteren schädlichen Einflüssen durch die Familienmitglieder zu schützen. Eine diesbezüglich dauerhafte Lösung konnte zu Beginn indessen noch gar nicht beabsichtigt sein, fehlte es dafür doch klarerweise am vertieften Wissen um die Sachumstände, insbesondere die Prognose hinsichtlich der Entwicklung der innerfamiliären Verhältnisse. Die in der Folge mit der kinderpsychologischen Begutachtung betrauten Experten der KJP Graubünden hatten denn auch u.a. die Frage zu beantworten, ob für die Beschwerdegegnerin eine Platzierung in einer geeigneten Institution in Betracht gezogen werden müsse oder ob sie im bisherigen familiären Rahmen weiterleben könne. Erst die betreffenden Fachpersonen waren nach eingehenden Untersuchungen zur Auskunft befähigt, auf Grund der instabilen Wohn-, Arbeits- und Milieuverhältnisse sei ein Leben der Beschwerdegegnerin bei ihren Eltern und ihrem Bruder aktuell nicht denkbar, wohingegen ein weiterer Verbleib bei der bisherigen SOS-Pflegefamilie in jeder Hinsicht unterstützenswert und anzustreben sei, da das Mädchen vor emotional traumatisierenden Beziehungsabbrüchen geschützt werden müsse. Mit dieser Beurteilung entpuppte sich die angeordnete provisorische Fremdplatzierung als adäquate, weiterhin aufrecht zu erhaltende Massnahme. Die Auffassung von Vorinstanz und Beschwerdegegnerin, die von Beginn weg dauerhaft konzipierte Fremdplatzierung sei lediglich noch zu Bestätigungszwecken, gleichsam resolutiv bedingt, gutachterlich zu überprüfen gewesen, überzeugt vor diesem Hintergrund nicht. Dies hat umso mehr zu gelten, als es sich bei der Fremdplatzierung aus Sicht aller Verfahrensbeteiligten um einen erheblichen Eingriff in die Rechtsstellung der Direktbetroffenen handelt und deshalb regelmässig erst nach gründlichen Abklärungen zur dauerhaften Massnahme erklärt werden kann.</w:t>
      </w:r>
    </w:p>
    <w:p>
      <w:r>
        <w:t>Zusammenfassend wurde die Beschwerdegegnerin mit Präsidialverfügung vom 27. Februar 2012 zunächst vorsorglich ausserfamiliär platziert. Diese Vorkehr diente dem vorläufigen Schutz der Beschwerdegegnerin und eröffnete die Möglichkeit, allfällige weitere Kindesschutzmassnahmen (so auch die dauerhafte Unterbringung bei einer Pflegefamilie) näher abzuklären und zu prüfen. Erst nach erfolgter Begutachtung sah sich die Vormundschaftsbehörde in die Lage versetzt, die anfänglich provisorischen Charakter aufweisende Betreuungssituation in einen dauerhaften Fremdplatzierungsstatus zu überführen.</w:t>
      </w:r>
    </w:p>
    <w:p>
      <w:r>
        <w:rPr>
          <w:b/>
        </w:rPr>
        <w:t>E. 4.3</w:t>
      </w:r>
    </w:p>
    <w:p>
      <w:r>
        <w:t>Nach dem vorstehend Ausgeführten gilt die Beschwerdegegnerin erst ab Beschluss der Vormundschaftsbehörde vom 6./28. Juni 2012 (definitiver Obhutsentzug, Anordnung der dauerhaften Fremdplatzierung) als "dauernd nicht bei den Eltern oder einem Elternteil" wohnend im Sinne des Art. 7 Abs. 3 lit. c ZUG (in Verbindung mit Art. 5 Abs. 1 und Art. 6 Abs. 1 des Kantonalen Unterstützungsgesetzes). Während des vorangegangenen Zeitraums der vorläufigen Unterbringung in einer SOS-Kinderfamilie hatte die Beschwerdegegnerin demgegenüber noch keinen eigenen Unterstützungswohnsitz begründet, sondern teilte diesen nach Massgabe von Abs. 1 des Art. 7 ZUG mit ihren Eltern (in diesem Sinne auch die Beschwerdeführerin: vgl. deren Verfügung vom 9. November 2012, S. 4).</w:t>
      </w:r>
    </w:p>
    <w:p>
      <w:r>
        <w:rPr>
          <w:b/>
        </w:rPr>
        <w:t>E. 4.3.1</w:t>
      </w:r>
    </w:p>
    <w:p>
      <w:r>
        <w:t>Auf Grund der entsprechenden Mietverträge ist davon auszugehen, dass E.________ und M.________ ihre Wohnsitze frühestens am 16. Juni bzw. 1. Juli 2012 von X.________ nach Y.________ bzw. Z.________ verlegt hatten. Daraus folgert, dass sich der relevante Unterstützungswohnsitz im Zeitpunkt des mit Beschluss vom 6. Juni 2012 behördlich angeordneten und am 28. Juni 2012 mitgeteilten Dauerpflegeverhältnisses noch in X.________ befand. Die Beschwerdeführerin trifft mithin so oder anders eine Kostentragungspflicht. Daran ändert der Umstand nichts, dass die dauerhafte Fremdplatzierung mit der Unterbringung der Beschwerdegegnerin in der Pflegefamilie in Q.________ am 23. Juli 2012 umgesetzt wurde bzw. der zugrunde liegende Pflegevertrag als Beginn des Pflegeverhältnisses dieses Datum nennt. Ebenso wenig erweist sich als entscheidwesentlich, dass erst für den Zeitraum ab 23. Juli 2012 zu entschädigende Pflegekosten geltend gemacht werden. Schliesslich ergäbe sich auch kein anderes Ergebnis, würde mit der Beschwerdeführerin angenommen, dass E.________ bereits am 10. Juni 2012 aus X.________ weggezogen wäre (vgl. Verfügung vom 9. November 2012, S. 1 unten und 4 Mitte).</w:t>
      </w:r>
    </w:p>
    <w:p>
      <w:r>
        <w:rPr>
          <w:b/>
        </w:rPr>
        <w:t>E. 4.3.2</w:t>
      </w:r>
    </w:p>
    <w:p>
      <w:r>
        <w:t>Darauf hinzuweisen bleibt, dass, sofern die Familie von R.________ während weniger als zwei Jahren Wohnsitz in der Gemeinde X.________ hatte, hinsichtlich der Pflegekosten allenfalls eine Ersatzpflicht des Heimatkantons bzw. der Heimatgemeinde zu prüfen wäre ( Art. 16 Abs. 1 ZUG in Verbindung mit Art. 5 Abs. 1 und Art. 6 Abs. 1 des Kantonalen Unterstützungsgesetzes; so ebenfalls das Schreiben der Beiständin vom 29. August 2012, S. 2).</w:t>
      </w:r>
    </w:p>
    <w:p>
      <w:r>
        <w:rPr>
          <w:b/>
        </w:rPr>
        <w:t>E. 5</w:t>
      </w:r>
    </w:p>
    <w:p>
      <w:r>
        <w:t>Mit dem Urteil in der Hauptsache wird das Ersuchen der Beschwerdegegnerin, die Beschwerdeführerin sei während des hängigen Verfahrens superprovisorisch anzuweisen, ihr umgehend sozialhilferechtliche Unterstützung zu gewähren, hinfällig (Urteil 9C_922/2008 vom 16. Januar 2009 E. 5 mit Hinweis [zur aufschiebenden Wirkung]).</w:t>
      </w:r>
    </w:p>
    <w:p>
      <w:r>
        <w:rPr>
          <w:b/>
        </w:rPr>
        <w:t>E. 6</w:t>
      </w:r>
    </w:p>
    <w:p>
      <w:r>
        <w:t>Die Gerichtskosten sind dem Ausgang des Verfahrens entsprechend der Beschwerdeführerin zu überbinden (Art. 65 Abs. 4 lit. a in Verbindung mit Art. 66 Abs. 1 Satz 1 BGG ). Da es um ihr Vermögensinteresse geht, kann sie sich nicht auf Art. 66 Abs. 4 BGG berufen (vgl. Urteil 8C_79/2010 vom 24. September 2010 E. 8 mit Hinweis, nicht publ. in: BGE 136 V 346 ). Sie hat der anwaltlich vertretenen Beschwerdegegnerin zudem eine Parteientschädigung auszurichten ( Art. 68 Abs. 1 und 2 BGG ). Deren Gesuch um unentgeltliche Rechtspflege (Prozessführung,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