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8C_69/2023 vom 8. März 2023</w:t>
      </w:r>
    </w:p>
    <w:p>
      <w:r>
        <w:t>Bundesgericht, 2023-03-08, DE</w:t>
      </w:r>
    </w:p>
    <w:p>
      <w:r>
        <w:rPr>
          <w:b/>
        </w:rPr>
        <w:t xml:space="preserve">Quelle: </w:t>
      </w:r>
      <w:r>
        <w:t>https://mcp.opencaselaw.ch/entscheid/bger_8C_69_2023</w:t>
      </w:r>
    </w:p>
    <w:p>
      <w:r>
        <w:t>FR: TF 8C_69/2023 du 8 mars 2023</w:t>
      </w:r>
    </w:p>
    <w:p>
      <w:r>
        <w:t>IT: TF 8C_69/2023 del 8 marzo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angefochtenen Urteil vom 22. Dezember 2022in Auseinandersetzung mit den Parteivorbringen und in Würdigung der Akten ausführlich dar, weshalb die Beschwerdegegnerin mit Verfügung vom 12. Mai 2022 das mit Anmeldung vom 31. Juli 2019 gestellte Begehren um Leistungen aus der Invalidenversicherung ablehnen durfte.</w:t>
      </w:r>
    </w:p>
    <w:p>
      <w:r>
        <w:rPr>
          <w:b/>
        </w:rPr>
        <w:t>E. 3</w:t>
      </w:r>
    </w:p>
    <w:p>
      <w:r>
        <w:t>Der Beschwerdeführer befasst sich nicht ansatzweise mit den für das Ergebnis des angefochtenen Urteils massgeblichen Erwägungen. Pauschal auf vorinstanzliche Stellungnahmen und Akten zu verweisen und zu behaupten, ihm stehe eine "volle Invalidenrente" zu, reicht klarerweise nicht aus. Soweit er sodann die Auszahlung von angeblich beschlagnahmten Geldern in der Höhe von etwa Fr. 300'000.- sowie von Geldern aus der Alters- und Hinterbliebenenversicherung beantragt, liegt dies ausserhalb des (durch die Verfügung vom 12. Mai 2022 begrenzten) Streitgegenstandes ( Art. 99 Abs. 2 BGG ) und kann daher im vorliegenden Verfahren nicht thematisiert werden.</w:t>
      </w:r>
    </w:p>
    <w:p>
      <w:r>
        <w:rPr>
          <w:b/>
        </w:rPr>
        <w:t>E. 4</w:t>
      </w:r>
    </w:p>
    <w:p>
      <w:r>
        <w:t>Liegt demnach offensichtlich keine hinreichend sachbezogen begründete Beschwerde vor, so führt dies zu einem Nichteintreten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