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8C_699/2023 vom 6. Februar 2024</w:t>
      </w:r>
    </w:p>
    <w:p>
      <w:r>
        <w:t>Bundesgericht, 2024-02-06, DE</w:t>
      </w:r>
    </w:p>
    <w:p>
      <w:r>
        <w:rPr>
          <w:b/>
        </w:rPr>
        <w:t xml:space="preserve">Quelle: </w:t>
      </w:r>
      <w:r>
        <w:t>https://mcp.opencaselaw.ch/entscheid/bger_8C_699_2023</w:t>
      </w:r>
    </w:p>
    <w:p>
      <w:r>
        <w:t>FR: TF 8C_699/2023 du 6 février 2024</w:t>
      </w:r>
    </w:p>
    <w:p>
      <w:r>
        <w:t>IT: TF 8C_699/2023 del 6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8C_699/2023</w:t>
      </w:r>
    </w:p>
    <w:p>
      <w:r>
        <w:t>Urteil vom 6. Februar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Sozialhilfe Basel-Stadt,</w:t>
      </w:r>
    </w:p>
    <w:p>
      <w:r>
        <w:t>Klybeckstrasse 15, 4057 Basel,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das Urteil des Appellationsgerichts des Kantons Basel-Stadt als Verwaltungsgericht</w:t>
      </w:r>
    </w:p>
    <w:p>
      <w:r>
        <w:t>vom 25. September 2023 (VD.2023.117).</w:t>
      </w:r>
    </w:p>
    <w:p>
      <w:r>
        <w:t>Nach Einsicht</w:t>
      </w:r>
    </w:p>
    <w:p>
      <w:r>
        <w:t>in die mehrfach ergänzte Beschwerde vom 30. Oktober 2023 gegen das Urteil des Appellationsgerichts des Kantons Basel-Stadt als Verwaltungsgericht vom 25. September 2023,</w:t>
      </w:r>
    </w:p>
    <w:p>
      <w:r>
        <w:t>in die Verfügung vom 29. November 2023, mit welcher verschiedene Verfahrensanträge, darunter auch jener um unentgeltliche Rechtspflege abgewiesen wurden; letzterer verbunden mit einer Frist zur Leistung des Kostenvorschusses in der Höhe von Fr. 1'000.-,</w:t>
      </w:r>
    </w:p>
    <w:p>
      <w:r>
        <w:t>in die Eingabe vom 14. Dezember 2023 und die dazu ergangene Verfügung vom 9. Januar 2024, worin A.________ zur Bezahlung des Kostenvorschusses innert einer Nachfrist bis zum 22. Januar 2024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Appellationsgericht des Kantons Basel-Stadt als Verwaltungsgericht und dem Departement für Wirtschaft, Soziales und Umwelt des Kantons Basel-Stadt, schriftlich mitgeteilt.</w:t>
      </w:r>
    </w:p>
    <w:p>
      <w:r>
        <w:t>Luzern, 6. Februar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