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8C_699/2014 vom 12. Dezember 2014</w:t>
      </w:r>
    </w:p>
    <w:p>
      <w:r>
        <w:t>Bundesgericht, 2014-12-12, DE</w:t>
      </w:r>
    </w:p>
    <w:p>
      <w:r>
        <w:rPr>
          <w:b/>
        </w:rPr>
        <w:t xml:space="preserve">Quelle: </w:t>
      </w:r>
      <w:r>
        <w:t>https://mcp.opencaselaw.ch/entscheid/bger_8C_699_2014</w:t>
      </w:r>
    </w:p>
    <w:p>
      <w:r>
        <w:t>FR: TF 8C_699/2014 du 12 décembre 2014</w:t>
      </w:r>
    </w:p>
    <w:p>
      <w:r>
        <w:t>IT: TF 8C_699/2014 del 12 dicembre 2014</w:t>
      </w:r>
    </w:p>
    <w:p>
      <w:pPr>
        <w:pStyle w:val="Heading2"/>
      </w:pPr>
      <w:r>
        <w:t>Erwägungen</w:t>
      </w:r>
    </w:p>
    <w:p>
      <w:r>
        <w:rPr>
          <w:b/>
        </w:rPr>
        <w:t>E. 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w:t>
      </w:r>
    </w:p>
    <w:p>
      <w:r>
        <w:t>Der angefochtene kantonale Entscheid vom 28. August 2014 stellt einen Zwischenentscheid dar. Solche Rückweisungsentscheide führen für die Verwaltung dann zu einem nicht wieder gutzumachenden Nachteil, wenn sie materielle Vorgaben enthalten und der Versicherer damit - könnte er diesen Entscheid nicht vor Bundesgericht anfechten - unter Umständen gezwungen wäre, eine seines Erachtens rechtswidrige, leistungszusprechende Verfügung zu erlassen. Diese könnte er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w:t>
      </w:r>
    </w:p>
    <w:p>
      <w:r>
        <w:rPr>
          <w:b/>
        </w:rPr>
        <w:t>E. 3</w:t>
      </w:r>
    </w:p>
    <w:p>
      <w:r>
        <w:t>Der kantonale Entscheid enthält eine für die Allianz verbindliche Vorgabe: Darin wird festgestellt, dass sich der Gesundheitszustand der Versicherten - soweit er durch den Unfall geschädigt wurde - zwar verbessert hat, dass aber weiterhin natürlich unfallkausale Beschwerden bestehen. Die Sache wird von der Vorinstanz an die Allianz zurückgewiesen, damit diese prüfe, ob die durch diese Beschwerden verursachte Erwerbsunfähigkeit im Sinne von Art. 7 Abs. 2 ATSG aus objektiver Sicht überwindbar sei. Die Beschwerdeführerin legt indessen nicht dar, inwiefern die vorinstanzliche Vorgabe unrichtig oder bundesrechtswidrig sein sollte. Soweit der vorinstanzliche Entscheid demnach für die Allianz verbindliche Vorgaben enthält, ist dieser letztinstanzlich nicht mehr bestritten. Hat sich die Beschwerdeführerin damit implizit bezüglich Bestand der natürlich unfallkausalen Beschwerden die vorinstanzliche Sichtweise zu eigen gemacht, so ist sie durch den vorinstanzlichen Entscheid nicht gezwungen, eine ihres Erachtens rechtswidrige Verfügung zu erlassen. Damit führt der kantonale Entscheid für die Allianz nicht zu einem nicht wieder gutzumachenden Nachteil im Sinne von Art. 93 Abs. 1 lit. a BGG .</w:t>
      </w:r>
    </w:p>
    <w:p>
      <w:r>
        <w:rPr>
          <w:b/>
        </w:rPr>
        <w:t>E. 4</w:t>
      </w:r>
    </w:p>
    <w:p>
      <w:r>
        <w:t>Rechtsprechungsgemäss kann entgegen den Ausführungen der Beschwerdeführerin durch die Aufhebung von Rückweisungsentscheiden, mit denen einzig eine ergänzende Sachverhaltsabklärung angeordnet wird, grundsätzlich kein bedeutender Aufwand an Zeit oder Kosten für ein weitläufiges Beweisverfahren im Sinne von Art. 93 Abs. 1 lit. b BGG erspart werden (vgl. Urteil 9C_329/2011 vom 27. September 2011 E. 3.3 mit weiteren Hinweisen).</w:t>
      </w:r>
    </w:p>
    <w:p>
      <w:r>
        <w:rPr>
          <w:b/>
        </w:rPr>
        <w:t>E. 5</w:t>
      </w:r>
    </w:p>
    <w:p>
      <w:r>
        <w:t>Die Beschwerdeführerin bringt vor, die Adäquanz des Kausalzusammenhanges sei im Revisionsverfahren neu zu prüfen und in casu zu verneinen. Sie übersieht, dass die Vorinstanz sich zu dieser Frage nicht geäussert hat. Die Allianz ist daher in dieser Hinsicht im neu zu erlassenden Einspracheentscheid frei und es ihr diesbezüglich auch kein nicht wieder gutzumachender Nachteil erwachsen.</w:t>
      </w:r>
    </w:p>
    <w:p>
      <w:r>
        <w:rPr>
          <w:b/>
        </w:rPr>
        <w:t>E. 6</w:t>
      </w:r>
    </w:p>
    <w:p>
      <w:r>
        <w:t>Ist somit weder die Eintretensalternative nach Art. 93 Abs. 1 lit. a BGG noch jene nach Art. 93 Abs. 1 lit. b BGG gegeben, so ist auf die Beschwerde der Allianz gegen den kantonalen Entscheid vom 28. August 2014 nicht einzutreten. Dem Prozessausgang entsprechend sind die Gerichtskosten der Beschwerdeführerin aufzuerlegen ( Art. 66 Abs. 1 BGG ). Diese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