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8C_699/2010 vom 8. Februar 2011</w:t>
      </w:r>
    </w:p>
    <w:p>
      <w:r>
        <w:t>Bundesgericht, 2011-02-08, DE</w:t>
      </w:r>
    </w:p>
    <w:p>
      <w:r>
        <w:rPr>
          <w:b/>
        </w:rPr>
        <w:t xml:space="preserve">Quelle: </w:t>
      </w:r>
      <w:r>
        <w:t>https://mcp.opencaselaw.ch/entscheid/bger_8C_699_2010</w:t>
      </w:r>
    </w:p>
    <w:p>
      <w:r>
        <w:t>FR: TF 8C_699/2010 du 8 février 2011</w:t>
      </w:r>
    </w:p>
    <w:p>
      <w:r>
        <w:t>IT: TF 8C_699/2010 del 8 febbraio 2011</w:t>
      </w:r>
    </w:p>
    <w:p>
      <w:pPr>
        <w:pStyle w:val="Heading2"/>
      </w:pPr>
      <w:r>
        <w:t>Erwägungen</w:t>
      </w:r>
    </w:p>
    <w:p>
      <w:r>
        <w:rPr>
          <w:b/>
        </w:rPr>
        <w:t>E. 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Die Vorinstanz hat die Bestimmungen und Grundsätze über die Rückerstattung unrechtmässig bezogener Leistungen ( Art. 25 Abs. 1 und 2 ATSG ) und deren Voraussetzungen, einschliesslich der Verletzung der Meldepflicht im Rahmen der Invalidenversicherung (Art. 77 in Verbindung mit Art. 88bis Abs. 2 lit. b IVV ), zutreffend dargelegt. Dies gilt insbesondere auch für die Besonderheit bei Rückerstattung unrechtmässig bezogener Leistungen der Invalidenversicherung, wonach der Erlass des Vorbescheids als fristwahrend gilt ( BGE 133 V 579 E. 4.3.1 S. 584, 119 V 431 E. 3c S. 434); diese zur Rechtslage bis 31. Dezember 2002 ergangene Rechtsprechung gilt auch für die Zeit seit Wiedereinführung des Vorbescheidverfahrens am 1. Juli 2006 (vgl. dazu auch ULRICH MEYER, Bundesgesetz über die Invalidenversicherung, 2. Aufl. 2010, S. 406). Darauf wird verwiesen.</w:t>
      </w:r>
    </w:p>
    <w:p>
      <w:r>
        <w:rPr>
          <w:b/>
        </w:rPr>
        <w:t>E. 3</w:t>
      </w:r>
    </w:p>
    <w:p>
      <w:r>
        <w:t>Letztinstanzlich wird die Leistungssistierung nicht mehr angefochten. Vor Bundesgericht ist auch die Unrechtmässigkeit der während der strafrechtlichen Massnahme erhaltenen Invalidenrente unbestritten. Streitig und zu prüfen sind somit einzig die Voraussetzungen der Rückforderung der für den Zeitraum vom Dezember 2004 bis Dezember 2008 ausgerichteten Invalidenrenten.</w:t>
      </w:r>
    </w:p>
    <w:p>
      <w:r>
        <w:rPr>
          <w:b/>
        </w:rPr>
        <w:t>E. 4</w:t>
      </w:r>
    </w:p>
    <w:p>
      <w:r>
        <w:t>Die Beschwerdeführerin lässt einerseits geltend machen, die IV-Stelle habe erst in der Verfügung vom 22. Januar 2010 die Höhe des zurückzuerstattenden Betrags erstmals genannt, weshalb die Rückforderung infolge Ablaufs der relativen Verwirkungsfrist untergegangen sei. Andererseits liege keine Meldepflichtverletzung seitens der Versicherten vor, da die IV-Stelle schon lange von den Vorfällen von Dezember 1993 und Juni 1996 sowie um den stationären Klinikaufenthalt der Versicherten wusste.</w:t>
      </w:r>
    </w:p>
    <w:p>
      <w:r>
        <w:rPr>
          <w:b/>
        </w:rPr>
        <w:t>E. 5.1</w:t>
      </w:r>
    </w:p>
    <w:p>
      <w:r>
        <w:t>Es ist zutreffend, dass weder im Vorbescheid vom 6. November 2009 noch in der Verfügung vom 19. Januar 2010, sondern erst in derjenigen vom 22. Januar 2010 der zurückzuerstattende Betrag in Franken genannt wird. Die Umschreibung dessen, was zurückgefordert wird, ist zweifellos ein verfügungsbedürftiges Element (vgl. Urteil des Eidg. Versicherungsgerichts I 353/01 vom 25. Februar 2003 E. 4.1.1) des Rückforderungsentscheides. Ob dieser indessen nur unter der Voraussetzung der Bezifferung die Verwirkung verhindert, ist gesetzlich nicht ausdrücklich bestimmt (vgl. Art. 25 Abs. 2 ATSG , Art. 55 ATSG i.V.m. Art. 35 Abs. 1 VwVG ). In Gerichtsverfahren sind die Parteien grundsätzlich zur Bezifferung ihrer Rechtsbegehren verpflichtet, soweit die Bezifferung möglich und zumutbar ist (zum Verfahren vor Bundesgericht, Art. 42 Abs. 1 BGG , vgl. BGE 134 III 235 E. 2 S. 236; vgl. auch Art. 84 f. ZPO). Bezüglich zivilrechtlicher Forderungen wird die Verjährung gemäss Art. 135 Ziff. 2 OR unter anderem durch Klage vor einem Gericht unterbrochen, wozu auch die Adhäsionsklage im Strafprozess gehört, wenn sie mit der erforderlichen Bestimmtheit erhoben wird. Nach der Rechtsprechung ist hiezu erforderlich, dass die geschädigte Person den Schadenersatzanspruch beziffert oder die Feststellung der rechtlichen Grundlagen ihres Ersatzanspruchs begehrt, denn die schädigende Person hat ein schützenswertes Interesse, die Art und Höhe der gegen sie gestellten Forderungen zu kennen (Urteil 5C.184/2006 des Bundesgerichts vom 9. Januar 2007 E. 3 mit Hinweis auf BGE 101 II 77 E. 2 S. 78). Im Rahmen der analogen Anwendung von Art. 47 AHVG , der vor Inkrafttreten des ATSG eine einjährige Verwirkungsfrist für Rückforderungsansprüche statuierte, erklärte das Eidgenössische Versicherungsgericht ebenfalls den Grundsatz anwendbar, dass eine auf Geldzahlung gerichtete Klage zu beziffern ist. Davon konnte aber abgesehen werden in einem Rückforderungsprozess eines Krankenversicherers gegen einen Arzt wegen unwirtschaftlicher Behandlung, da erst aufgrund des Beweisverfahrens die rechnerische Bestimmung des eingeklagten Anspruchs möglich ist. Die Bezifferung der Rückforderung wurde für die Hemmung des Eintritts der Verwirkung deshalb nicht als notwendig erachtet (Urteil des Eidgenössischen Versicherungsgerichts K 9/00 vom 24. April 2003 E. 2.2.2, in: RKUV 2003 Nr. KV 250 S. 216, SVR 2003 KV Nr. 26 S. 97).</w:t>
      </w:r>
    </w:p>
    <w:p>
      <w:r>
        <w:t>Vorliegend wäre der IV-Stelle die Bezifferung der Rückforderung ohne weiteres möglich und zumutbar gewesen. Es ist indessen Folgendes zu beachten: Wird einer versicherten Person eine Rente zugesprochen und beantragt sie beschwerdeweise die Zusprechung einer höheren Rente, z. B. anstelle einer zugesprochenen Viertelsrente eine ganze Rente, genügt es - auch vor Bundesgericht -, wenn sie die Zusprechung dieser höheren Rente beantragt, auch wenn es ihr ohne weiteres möglich wäre, die höhere Rente zu beziffern. Indem hier sowohl im Vorbescheid als auch in der Verfügung vom 19. Januar 2010 festgehalten wurde, dass die von Dezember 2004 bis Dezember 2008 zu viel bezogenen Invalidenrenten zurückzubezahlen sind, wobei aus der Verfügungsbegründung klar ersichtlich war, dass die bezogenen Renten vollumfänglich zurückgefordert wurden, hat die Verwaltung die Rückforderung ausreichend präzis umschrieben.</w:t>
      </w:r>
    </w:p>
    <w:p>
      <w:r>
        <w:rPr>
          <w:b/>
        </w:rPr>
        <w:t>E. 5.2</w:t>
      </w:r>
    </w:p>
    <w:p>
      <w:r>
        <w:t>Es ist unbestritten, dass die IV-Stelle über die Vorfälle vom Dezember 1993 und vom Juni 1996 informiert wurde. Auch waren der IV-Stelle die jeweiligen stationären Aufenthalte der Versicherten bekannt. Insofern geht es nicht um eine offensichtlich unrichtige Feststellung des Sachverhalts im Sinne von Art. 97 Abs. 1 resp. Art. 105 Abs. 2 BGG , sondern um die rechtliche Würdigung des an sich unbestrittenen Sachverhalts, indem zu prüfen ist, ob dieser den Tatbestand der Meldepflichtverletzung erfüllt.</w:t>
      </w:r>
    </w:p>
    <w:p>
      <w:r>
        <w:t>Wie die Vorinstanz zutreffend festhält, enthält der ärztliche Zwischenbericht vom 23. Dezember 2008 erstmals den Hinweis auf die Unterbringung der Versicherten in einer psychiatrischen Klinik im Rahmen einer strafrechtlichen Massnahme. Aus dem Bericht des einweisenden Dr. med. S.________ vom 4. Oktober 1996 ergibt sich bloss, dass die Einweisung im Rahmen eines fürsorgerischen Freiheitsentzugs (FFE) erfolgte. Dies stellt aber keine Massnahme nach StGB dar. Auch dem Schreiben des Adoptivvaters vom 7. September 1996, den vom Amtsvormund ausgefüllten Fragebogen für Rentenrevision vom 22. November 1999, 9. Januar 2003 und 12. Dezember 2008 oder den Berichten der Psychiatrischen Klinik L.________ vom 13. Dezember 1999 und des Dr. med. I._________, Facharzt für Allgemeine Medizin, vom 20. Januar 2003 lassen sich keine Hinweise auf eine angeordnete strafrechtliche Massnahme entnehmen. Allein der Umstand, dass im Rahmen der Bestellung eines Vormundes darauf hingewiesen wird, dass ein strafrechtliches Verfahren läuft, lässt noch nicht auf die Anordnung einer stationären Massnahme oder einer Haftstrafe schliessen. Vielmehr wäre es gerade die Pflicht des Amtsvormundes gewesen, den Abschluss und das Ergebnis des strafrechtlichen Verfahrens der IV-Stelle mitzuteilen. So hat die IV-Stelle in ihrem Schreiben vom 21. März 2003 an den Amtsvormund bezüglich der Meldepflicht explizit den Straf- und Massnahmenvollzug als zu meldenden Tatbestand festgehalten. Demnach kann nicht gesagt werden, die IV-Stelle hätte unter diesen Umständen Kenntnis vom Massnahmenvollzug haben müssen.</w:t>
      </w:r>
    </w:p>
    <w:p>
      <w:r>
        <w:rPr>
          <w:b/>
        </w:rPr>
        <w:t>E. 5.3</w:t>
      </w:r>
    </w:p>
    <w:p>
      <w:r>
        <w:t>Zusammenfassend ergibt sich, dass die Rückforderung weder verwirkt ist noch infolge zumutbarer Kenntnis der IV-Stelle keine Meldepflichtverletzung vorliegt.</w:t>
      </w:r>
    </w:p>
    <w:p>
      <w:r>
        <w:rPr>
          <w:b/>
        </w:rPr>
        <w:t>E. 6</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