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8C_698/2012 vom 12. Dezember 2012</w:t>
      </w:r>
    </w:p>
    <w:p>
      <w:r>
        <w:t>Bundesgericht, 2012-12-12, FR</w:t>
      </w:r>
    </w:p>
    <w:p>
      <w:r>
        <w:rPr>
          <w:b/>
        </w:rPr>
        <w:t xml:space="preserve">Quelle: </w:t>
      </w:r>
      <w:r>
        <w:t>https://mcp.opencaselaw.ch/entscheid/bger_8C_698_2012</w:t>
      </w:r>
    </w:p>
    <w:p>
      <w:r>
        <w:t>FR: TF 8C_698/2012 du 12 décembre 2012</w:t>
      </w:r>
    </w:p>
    <w:p>
      <w:r>
        <w:t>IT: TF 8C_698/2012 del 12 dicembre 2012</w:t>
      </w:r>
    </w:p>
    <w:p>
      <w:pPr>
        <w:pStyle w:val="Heading2"/>
      </w:pPr>
      <w:r>
        <w:t>Erwägungen</w:t>
      </w:r>
    </w:p>
    <w:p>
      <w:r>
        <w:rPr>
          <w:b/>
        </w:rPr>
        <w:t>E. 1</w:t>
      </w:r>
    </w:p>
    <w:p>
      <w:r>
        <w:t>Conformément aux art. 94 et 100 al. 7 LTF , le recours au Tribunal fédéral est recevable en tout temps si, sans en avoir le droit, la juridiction saisie s'abstient de rendre une décision sujette à recours ou tarde à le faire. En l'espèce, la cause au fond, qui relève des rapports de travail de droit public, aurait pu être portée devant le Tribunal fédéral ( art. 83 let . g LTF a contrario et 85 al. 1 let. b LTF; cf. également arrêts 1C_547/2008 du 23 février 2009 consid. 2.1 et 1C_116/2007 du 24 septembre 2007 consid. 2). Le présent recours doit cependant être déclaré sans objet et rayé du rôle. En effet, le recourant ne dispose plus d'un intérêt juridiquement protégé à faire constater un éventuel retard à statuer, puisque l'arrêt, dont il demandait la notification, a été rendu le 4 octobre 2012, postérieurement à l'ouverture de l'instance fédérale.</w:t>
      </w:r>
    </w:p>
    <w:p>
      <w:r>
        <w:rPr>
          <w:b/>
        </w:rPr>
        <w:t>E. 2.1</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2.2</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2.3</w:t>
      </w:r>
    </w:p>
    <w:p>
      <w:r>
        <w:t>En l'occurrence, le recours a été interjeté devant l'autorité cantonale le 26 mai 2011. L'échange d'écritures s'est achevé par la détermination du recourant le 17 août 2011. Il n'y a pas eu d'autre mesure d'instruction. D.________ a adressé deux lettres au tribunal cantonal pour s'informer de l'avancement de sa cause. Il a saisi le Tribunal fédéral d'un recours pour déni de justice le 11 septembre 2012, avant que la juridiction cantonale n'ait rendu son jugement le 4 octobre 2012.</w:t>
      </w:r>
    </w:p>
    <w:p>
      <w:r>
        <w:t>Devant l'autorité cantonale, le litige portait sur le bien-fondé de la décision, par laquelle l'Université de Neuchâtel a mis fin aux rapports de travail pour le 31 mai 2011. Il s'agissait en particulier de déterminer si cette décision avait été justifiée par des motifs objectifs ou si elle constituait en fait un licenciement déguisé, comme le soutenait le recourant, qui se plaignait également d'avoir été victime de mobbing de la part de son supérieur.</w:t>
      </w:r>
    </w:p>
    <w:p>
      <w:r>
        <w:t>Au vu de ces éléments, un délai d'un peu plus d'une année entre la fin de l'échange d'écritures et le dépôt du présent recours, respectivement de quinze mois et demi depuis l'introduction du recours cantonal, n'apparaît pas excessif au point de constituer une violation du principe de la célérité. A titre de comparaison, le Tribunal fédéral a admis, au vu des circonstances, un retard inadmissible à statuer dans un cas où il s'était écoulé 24 mois entre la fin de l'échange d'écritures et le prononcé du jugement cantonal, tout en relevant qu'un tel délai représentait une situation limite (arrêt 9C_831/2008 du 12 décembre 2008 consid. 2.2, in Plädoyer 3/2009 p. 62; voir également arrêt 8C_613/2009 du 22 février 2010). En revanche, dans deux autres affaires (sans acte d'instruction), le Tribunal fédéral a jugé qu'un intervalle d'un peu plus de 18 mois se situait encore dans les limites admissibles (voir les arrêts 9C_433/2009 du 19 août 2009 et 8C_615/2009 du 28 septembre 2009).</w:t>
      </w:r>
    </w:p>
    <w:p>
      <w:r>
        <w:t>Quoi qu'en dise le recourant, son dossier ne revêtait pas un caractère d'urgence par rapport aux cas de licenciement habituels. Au demeurant, l'octroi de l'effet suspensif au recours cantonal a permis au recourant d'assurer ses moyens d'existence pendant la durée de la procédure.</w:t>
      </w:r>
    </w:p>
    <w:p>
      <w:r>
        <w:t>Dans ces conditions, le recourant n'aurait pas été fondé à se plaindre d'un retard inadmissible à statuer.</w:t>
      </w:r>
    </w:p>
    <w:p>
      <w:r>
        <w:rPr>
          <w:b/>
        </w:rPr>
        <w:t>E. 3</w:t>
      </w:r>
    </w:p>
    <w:p>
      <w:r>
        <w:t>Il s'ensuit que le recourant n'a pas droit à des dépens ( art. 68 al. 1 LTF ). Il se justifie, vu les circonstances, de renoncer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