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8C_697/2025 vom 21. Januar 2026</w:t>
      </w:r>
    </w:p>
    <w:p>
      <w:r>
        <w:t>Bundesgericht, 2026-01-21, DE</w:t>
      </w:r>
    </w:p>
    <w:p>
      <w:r>
        <w:rPr>
          <w:b/>
        </w:rPr>
        <w:t xml:space="preserve">Quelle: </w:t>
      </w:r>
      <w:r>
        <w:t>https://mcp.opencaselaw.ch/entscheid/bger_8C_697_2025</w:t>
      </w:r>
    </w:p>
    <w:p>
      <w:r>
        <w:t>FR: TF 8C_697/2025 du 21 janvier 2026</w:t>
      </w:r>
    </w:p>
    <w:p>
      <w:r>
        <w:t>IT: TF 8C_697/2025 del 21 gennaio 2026</w:t>
      </w:r>
    </w:p>
    <w:p>
      <w:pPr>
        <w:pStyle w:val="Heading2"/>
      </w:pPr>
      <w:r>
        <w:t>Erwägungen</w:t>
      </w:r>
    </w:p>
    <w:p>
      <w:r>
        <w:rPr>
          <w:b/>
        </w:rPr>
        <w:t>E. 1</w:t>
      </w:r>
    </w:p>
    <w:p>
      <w:r>
        <w:t>Mit Entscheid vom 23. Oktober 2025 hiess das Versicherungsgericht des Kantons St. Gallen eine Beschwerde des A.________ gegen eine leistungsablehnende Verfügung der IV-Stelle des Kantons St. Gallen teilweise gut, und sprach dem Beschwerdeführer ab 1. Januar 2024 bei einem Invaliditätsgrad von 44 % eine Rente der Invalidenversicherung zu. A.________ führt Beschwerde in öffentlich-rechtlichen Angelegenheiten und beantragt, ihm sei eine Rente bei einem Invaliditätsgrad von mindestens 70 % zuzusprechen.</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w:t>
      </w:r>
    </w:p>
    <w:p>
      <w:r>
        <w:t>Der Beschwerdeführer bringt lediglich pauschal vor, die Vorinstanz habe seine gesundheitliche Situation nicht ausreichend berücksichtigt und er habe Anspruch auf eine Neubewertung seiner Arbeitsunfähigkeit. Er setzt sich indessen mit keinem Wort mit den entscheiderheblichen vorinstanzlichen Erwägungen auseinander. Damit legt er nicht ansatzweise dar, inwiefern die vorinstanzlichen Sachverhaltsfeststellungen auf einer Rechtsverletzung im Sinne von Art. 97 Abs. 1 BGG beruhen oder qualifiziert unzutreffend (unhaltbar, willkürlich: BGE 150 II 346 E. 1.6; 147 IV 73 E. 4.1.2) sein sollen oder die sich darauf stützenden Erwägungen rechtsfehlerhaft (vgl. Art. 95 BGG ) sein sollen.</w:t>
      </w:r>
    </w:p>
    <w:p>
      <w:r>
        <w:rPr>
          <w:b/>
        </w:rPr>
        <w:t>E. 4</w:t>
      </w:r>
    </w:p>
    <w:p>
      <w:r>
        <w:t>Damit genügt die Eingabe des Beschwerdeführers den gesetzlichen Anforderungen an eine Beschwerde offensichtlich nicht. Auf das Rechtsmittel ist im vereinfachten Verfahren nach Art. 108 Abs. 1 lit. b und Abs. 2 BGG nicht einzutreten.</w:t>
      </w:r>
    </w:p>
    <w:p>
      <w:r>
        <w:rPr>
          <w:b/>
        </w:rPr>
        <w:t>E. 5</w:t>
      </w:r>
    </w:p>
    <w:p>
      <w:r>
        <w:t>In Anwendung von Art. 66 Abs. 1 Satz 2 BGG kann ausnahmsweise auf die Erhebung von Gerichtskosten verzichtet werden.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