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8C_697/2013 vom 5. November 2013</w:t>
      </w:r>
    </w:p>
    <w:p>
      <w:r>
        <w:t>Bundesgericht, 2013-11-05, DE</w:t>
      </w:r>
    </w:p>
    <w:p>
      <w:r>
        <w:rPr>
          <w:b/>
        </w:rPr>
        <w:t xml:space="preserve">Quelle: </w:t>
      </w:r>
      <w:r>
        <w:t>https://mcp.opencaselaw.ch/entscheid/bger_8C_697_2013</w:t>
      </w:r>
    </w:p>
    <w:p>
      <w:r>
        <w:t>FR: TF 8C_697/2013 du 5 novembre 2013</w:t>
      </w:r>
    </w:p>
    <w:p>
      <w:r>
        <w:t>IT: TF 8C_697/2013 del 5 novembre 2013</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Beschwerdeführerin über den 23. Mai 2010 hinaus Anspruch auf Taggelder und Heilbehandlung hat.</w:t>
      </w:r>
    </w:p>
    <w:p>
      <w:r>
        <w:t>Das kantonale Gericht hat die massgeblichen Bestimmungen und die Rechtsprechung zu dem für den Leistungsanspruch nebst anderem erforderlichen natürlichen und adäquaten Kausalzusammenhang zwischen dem Unfall und dem eingetretenen Schaden zutreffend dargelegt. Darauf wird verwiesen.</w:t>
      </w:r>
    </w:p>
    <w:p>
      <w:r>
        <w:t>Ebenfalls richtig ist, dass sich der Zeitpunkt, bis zu welchem der Unfallversicherer Heilbehandlung und Taggeld zu gewähren hat, nach Massgabe von Art. 19 UVG bestimmt. Danach entsteht der Rentenanspruch,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Nach konstanter Rechtsprechung heisst dies, dass der Versicherer - sofern allfällige Eingliederungsmassnahmen der Invalidenversicherung abgeschlossen sind - die Heilbehandlung und das Taggeld nur solange zu gewähren hat,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 BGE 134 V 109 E. 4.1 S. 114).</w:t>
      </w:r>
    </w:p>
    <w:p>
      <w:r>
        <w:rPr>
          <w:b/>
        </w:rPr>
        <w:t>E. 3.1</w:t>
      </w:r>
    </w:p>
    <w:p>
      <w:r>
        <w:t>Ob die Beschwerdeführerin über den 23. Mai 2010 hinaus Anspruch auf die vorübergehenden Leistungen (Heilbehandlung, Taggeld) hat, hängt daher davon ab, ob im Zeitpunkt der Leistungseinstellung (23. Mai 2010) von der Fortsetzung der ärztlichen Behandlung noch eine namhafte Besserung des Gesundheitszustandes erwartet werden konnte und allfällige Eingliederungsmassnahmen der Invalidenversicherung abgeschlossen waren. Ob dies zutrifft, beurteilt sich namentlich nach Massgabe der zu erwartenden Steigerung oder Wiederherstellung der Arbeitsfähigkeit, soweit sie unfallbedingt beeinträchtigt war. Dabei verdeutlicht die Verwendung des Begriffs "namhaft" des Gesetzgebers, dass die durch weitere Heilbehandlung zu erwartende Besserung ins Gewicht fallen muss. Unbedeutende Verbesserungen genügen nicht ( BGE 134 V 109 E. 4.3 S. 115 mit Hinweisen).</w:t>
      </w:r>
    </w:p>
    <w:p>
      <w:r>
        <w:rPr>
          <w:b/>
        </w:rPr>
        <w:t>E. 3.2</w:t>
      </w:r>
    </w:p>
    <w:p>
      <w:r>
        <w:t>Das kantonale Gericht hat zunächst erwogen, insbesondere gestützt auf das Gutachten des Zentrums Y.________ vom 15. Juni 2011, welchem voller Beweiswert zukomme, seien die unfallkausalen Gesundheitsbeeinträchtigungen spätestens sechs Monate nach dem Unfallereignis vom 23. November 2009 ausgeheilt und abgeklungen gewesen. Diese Beurteilung beruht auf einer überzeugenden Würdigung der medizinischen Unterlagen. Sie berücksichtigt auch, dass die Halswirbelsäule der Versicherten im Anschluss an den Unfall druckschmerzhaft war, ohne dass jedoch neurologische Defizite oder auffällige Strukturen der Halswirbelsäule erkennbar gewesen wären. Das kantonale Gericht hat zudem erkannt, ob zwischen dem Unfallereignis vom 23. November 2009 und den noch geklagten Beschwerden ein natürlicher Kausalzusammenhang bestehe, müsse nicht abschliessend beantwortet werden. Denn selbst wenn dies bejaht würde, fehle es an der für die Leistungspflicht des Unfallversicherers zusätzlich erforderlichen Adäquanz des Kausalzusammenhangs.</w:t>
      </w:r>
    </w:p>
    <w:p>
      <w:r>
        <w:t>Des Weitern ging die Vorinstanz davon aus, dass von einer Fortsetzung der ärztlichen Behandlung über den 23. Mai 2010 hinaus keine namhafte Besserung des somatischen und psychischen Gesundheitszustandes mehr zu erwarten war. Dabei stützte sich diese im Wesentlichen auf das Gutachten des Zentrums Y.________ vom 15. Juni 2011, wonach keine Beschwerden mit Einfluss auf die Arbeitsfähigkeit in der angestammten Tätigkeit mehr bestanden haben. Ab dem 3. Mai 2010 sei die Versicherte in ihrer angestammten Tätigkeit als medizinische Fachangestellte wieder zu 50 Prozent arbeitsfähig gewesen. Nachdem eine Erhöhung des Arbeitspensums auf 80 Prozent nach wenigen Monaten habe abgebrochen werden müssen, betrage die Arbeitsfähigkeit seit dem 1. Mai 2012 60 Prozent. Therapeutische Massnahmen hätten gemäss Stellungnahme des Dr. med. S.________ vom 30. Dezember 2010 der Stabilisierung und Aufrechterhaltung des bestehenden Gesundheitszustandes gedient und die Arbeitsfähigkeit nicht namhaft beeinflussen können. Den medizinischen Unterlagen seien zudem keine Hinweise auf eine gezielte, auf das komplexe und vielschichtige Schleudertrauma-Beschwerdebild gerichtete ärztliche Behandlung zu entnehmen, welche eine namhafte Besserung des Gesundheitszustandes im Sinne der bundesgerichtlichen Rechtsprechung hätten erwarten lassen. Bei den zur Aufrechterhaltung des bestehenden Gesundheitszustandes getroffenen Massnahmen in Form von Physiotherapie, Osteopathie, Muskelrelaxantien, Craniosacraltherapie und Einnahme von Gingkopräparaten handle es sich nicht um Behandlungen, welche einem Fallabschluss mit Adäquanzprüfung entgegenstehen würden. Da überdies keine Eingliederungsmassnahmen der Invalidenversicherung zur Diskussion standen, bestätigte die Vorinstanz den Fallabschluss auf den 23. Mai 2010. Entsprechend prüfte sie auf diesen Zeitpunkt hin die Adäquanz des Kausalzusammenhangs zwischen dem Unfallereignis und den Beschwerden nach den speziellen Kriterien der "Schleudertrauma-Praxis" ( BGE 134 V 109 E. 10 S. 126 ff.) und verneinte in Übereinstimmung mit der AXA einen rechtlichen Kausalzusammenhang zwischen dem versicherten Unfallereignis und den über den 23. Mai 2010 hinaus geklagten Beschwerden.</w:t>
      </w:r>
    </w:p>
    <w:p>
      <w:r>
        <w:rPr>
          <w:b/>
        </w:rPr>
        <w:t>E. 3.3</w:t>
      </w:r>
    </w:p>
    <w:p>
      <w:r>
        <w:t>Die Beschwerdeführerin anerkennt ausdrücklich, dass die adäquate Kausalität der Beschwerden ab dem 1. Mai 2011 zu verneinen sei. Dass bei einem Fallabschluss auf den 23. Mai 2010 die Adäquanzprüfung anders ausfallen würde, wird nicht geltend gemacht.</w:t>
      </w:r>
    </w:p>
    <w:p>
      <w:r>
        <w:rPr>
          <w:b/>
        </w:rPr>
        <w:t>E. 3.4</w:t>
      </w:r>
    </w:p>
    <w:p>
      <w:r>
        <w:t>Die Versicherte rügt jedoch eine Verletzung von Art. 19 UVG sowie der Beweisregeln und eine unrichtige und unvollständige Feststellung des rechtserheblichen Sachverhalts, indem die Vorinstanz davon ausgegangen sei, es hätten ab dem 24. Mai 2010 keine unfallkausalen Beschwerden mehr vorgelegen. Steht indessen aufgrund einer speziellen Adäquanzprüfung wie im vorliegenden Fall fest, dass ein allfällig bestehender natürlicher Kausalzusammenhang nicht adäquat und damit auch nicht rechtsgenüglich wäre, ist die Frage, ob der natürliche Kausalzusammenhang tatsächlich besteht, nicht entscheidrelevant ( BGE 135 V 465 E. 5.1 S. 472 mit Hinweisen). Hat die Vorinstanz die Adäquanz unbestrittenermassen zu Recht verneint, erübrigen sich somit Weiterungen zu den Einwänden, welche die Beschwerdeführerin zu den Aussagen einzelner Ärzte und zu den vorinstanzlichen Erwägungen betreffend natürliche Kausalität vorbringt.</w:t>
      </w:r>
    </w:p>
    <w:p>
      <w:r>
        <w:rPr>
          <w:b/>
        </w:rPr>
        <w:t>E. 3.5</w:t>
      </w:r>
    </w:p>
    <w:p>
      <w:r>
        <w:t>Die Beschwerdeführerin macht weiter geltend, seit Behandlungsbeginn bei Dr. med. G.________ im Juni 2010 habe eine namhafte Verbesserung des Gesundheitszustandes erreicht werden können. Auch wenn sie nicht mehr in vollem Umfang auf ihrem angestammten Beruf tätig sein könne, habe die Erwerbsfähigkeit von Mai 2010 bis Ende April 2011 kontinuierlich auf 100 Prozent gesteigert werden können. Entgegen der Auffassung der Vorinstanz sei der Fallabschluss somit am 23. Mai 2010 verfrüht erfolgt. Dr. med. G.________ gibt im Bericht vom 20. Oktober 2010 zwar an, durch osteopathische Therapien und Physiotherapie habe eine diskrete Besserung des cervicospondylogenen Schmerzsyndroms erreicht werden können. Am 20. Mai 2011 hielt derselbe Arzt fest, es würden osteopathische Therapien zur Mobilisierung und Aufrechterhaltung der Funktion des Segmentes C0/1 durchgeführt. Zusätzlich empfahl er eine kräftigende und stabilisierende Physiotherapie. Auch wenn sich der behandelnde Arzt von diesen Massnahmen längerfristig eine Steigerung der Arbeitsfähigkeit versprach, kann daraus nicht von einer ins Gewicht fallenden Besserung im Sinne der Rechtsprechung ausgegangen werden. Dies hat sich in der Folge denn auch bestätigt. Zwar konnte die Versicherte mit Unterstützung der Arbeitslosenversicherung am 1. Mai 2011 eine Praktikumsstelle als Fachangestellte Gesundheit in einem Alters- und Pflegeheim mit einem Arbeitspensum von 50 Prozent antreten. Die vorgesehene Erhöhung des Pensums auf 80 Prozent ab 1. Dezember 2011 konnte jedoch gesundheitsbedingt nicht realisiert werden. Dass im vorliegenden Fall ab dem 23. Mai 2010 von einer Fortsetzung der ärztlichen Behandlung noch eine namhafte Besserung zu erwarten war, kann folglich mit der Vorinstanz aufgrund der Akten verlässlich verneint werden. Das Vorgehen der AXA und der dieses bestätigende Entscheid des kantonalen Gerichts sind mithin nicht zu beanstanden.</w:t>
      </w:r>
    </w:p>
    <w:p>
      <w:r>
        <w:rPr>
          <w:b/>
        </w:rPr>
        <w:t>E. 4</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