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695/2007 vom 20. März 2009</w:t>
      </w:r>
    </w:p>
    <w:p>
      <w:r>
        <w:t>Bundesgericht, 2009-03-20, DE</w:t>
      </w:r>
    </w:p>
    <w:p>
      <w:r>
        <w:rPr>
          <w:b/>
        </w:rPr>
        <w:t xml:space="preserve">Quelle: </w:t>
      </w:r>
      <w:r>
        <w:t>https://mcp.opencaselaw.ch/entscheid/bger_8C_695_2007</w:t>
      </w:r>
    </w:p>
    <w:p>
      <w:r>
        <w:t>FR: TF 8C 695/2007 du 20 mars 2009</w:t>
      </w:r>
    </w:p>
    <w:p>
      <w:r>
        <w:t>IT: TF 8C 695/2007 del 20 marzo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Streitig ist, ob der Beschwerdeführer Anspruch auf Übernahme der Heilbehandlungskosten gemäss Rechnung vom 30. November 2005 im Umfang von Fr. 277.40 und gemäss Rechnung vom 5. Januar 2006 im Umfang von Fr. 40.85 hat. Da damit Leistungen der Unfallversicherung streitig sind, ist trotz des geringen Streitwertes auf die Beschwerde einzutreten ( Art. 85 Abs. 1 BGG e contrario).</w:t>
      </w:r>
    </w:p>
    <w:p>
      <w:r>
        <w:rPr>
          <w:b/>
        </w:rPr>
        <w:t>E. 1.3</w:t>
      </w:r>
    </w:p>
    <w:p>
      <w:r>
        <w:t>Da es sich bei der streitigen Leistung um eine Sach- und nicht um eine Geldleistung handelt (vgl. Rudolf Ursprung/Petra Fleischanderl, Die Kognition des Eidgenössischen Versicherungsgerichts nach dem Bundesgesetz über das Bundesgericht (BGG), in: Festschrift 100 Jahre Aargauischer Anwaltsverband, Zürich 2005, S. 415 ff., S. 427), ist das Bundesgericht an die vorinstanzliche Feststellung des rechtserheblichen Sachverhaltes gebunden ( Art. 97 Abs. 2 und Art. 105 Abs. 3 BGG e contrario). Es kann daher die Sachverhaltsfeststellung der Vorinstanz nur dann berichtigen oder ergänzen, wenn sie offensichtlich unrichtig ist oder auf einer Rechtsverletzung im Sinne von Art. 95 BGG beruht ( Art. 105 Abs. 2 BGG ).</w:t>
      </w:r>
    </w:p>
    <w:p>
      <w:r>
        <w:rPr>
          <w:b/>
        </w:rPr>
        <w:t>E. 1.4</w:t>
      </w:r>
    </w:p>
    <w:p>
      <w:r>
        <w:t>Bei den vorinstanzlichen Erwägungen zum Gesundheitszustand und zur Arbeitsfähigkeit der versicherten Person handelt es sich grundsätzlich um Entscheidungen über Tatfragen ( BGE 132 V 393 E. 3.2 S. 397 ff.). Die entsprechenden Feststellungen des kantonalen Gerichts sind daher im dargestellten Rahmen (E. 1.1 hiervor) für das Bundesgericht verbindlich.</w:t>
      </w:r>
    </w:p>
    <w:p>
      <w:r>
        <w:rPr>
          <w:b/>
        </w:rPr>
        <w:t>E. 2.1</w:t>
      </w:r>
    </w:p>
    <w:p>
      <w:r>
        <w:t>Gemäss Art. 6 Abs. 1 UVG erbringt die Unfallversicherung grundsätzlich Versicherungsleistungen bei Berufsunfällen, Nichtberufsunfällen und Berufskrankheiten. Der Versicherte hat im Rahmen von Art. 10 UVG Anspruch auf die zweckmässige Behandlung der Unfallfolgen, insbesondere auf die ambulante Behandlung durch den Arzt, den Zahnarzt oder auf deren Anordnung durch eine medizinische Hilfsperson sowie im weiteren durch den Chiropraktor ( Art. 10 Abs. 1 lit. a UVG ) und auf die der Heilung dienlichen Mittel und Gegenstände ( Art. 10 Abs. 1 lit. e UVG ).</w:t>
      </w:r>
    </w:p>
    <w:p>
      <w:r>
        <w:rPr>
          <w:b/>
        </w:rPr>
        <w:t>E. 2.2</w:t>
      </w:r>
    </w:p>
    <w:p>
      <w:r>
        <w:t>Ist der Versicherte infolge des Unfalles zu mindestens 10 Prozent invalid, so hat er Anspruch auf eine Invalidenrente ( Art. 18 UVG ). Der Rentenanspruch entsteht, wenn von der Fortsetzung der ärztlichen Behandlung keine namhafte Besserung des Gesundheitszustandes des Versicherten mehr erwartet werden kann und allfällige Eingliederungsmassnahmen der Invalidenversicherung (IV) abgeschlossen sind. Mit dem Rentenbeginn fallen die Heilbehandlung und die Taggeldleistungen dahin ( Art. 19 Abs. 1 UVG ). Der Bundesrat erlässt nähere Vorschriften über die Entstehung des Rentenanspruchs, wenn von der Fortsetzung der ärztlichen Behandlung keine namhafte Besserung des Gesundheitszustandes des Versicherten mehr zu erwarten ist, der Entscheid der IV über die berufliche Eingliederung jedoch erst später gefällt wird ( Art. 19 Abs. 3 UVG ).</w:t>
      </w:r>
    </w:p>
    <w:p>
      <w:r>
        <w:rPr>
          <w:b/>
        </w:rPr>
        <w:t>E. 2.3</w:t>
      </w:r>
    </w:p>
    <w:p>
      <w:r>
        <w:t>Nach der Festsetzung der Rente werden dem Bezüger die Pflegeleistungen und Kostenvergütungen gemäss Art. 10-13 UVG unter anderem dann gewährt, wenn er zur Erhaltung seiner verbleibenden Erwerbsfähigkeit dauernd der Behandlung und Pflege bedarf ( Art. 21 Abs. 1 lit. c UVG ).</w:t>
      </w:r>
    </w:p>
    <w:p>
      <w:r>
        <w:rPr>
          <w:b/>
        </w:rPr>
        <w:t>E. 3.1</w:t>
      </w:r>
    </w:p>
    <w:p>
      <w:r>
        <w:t>Die streitigen Arztkonsultationen fanden in der Zeit zwischen dem 16. November und dem 7. Dezember 2005 statt. Gemäss Schreiben des Dr. med. O.________ vom 15. März 2006 handelte es sich hierbei um eine spezialärztliche Behandlung der Unfallfolgen. Wie dieser Arzt weiter ausführt, dürfte auch in Zukunft immer wieder die Notwendigkeit therapeutischer Massnahmen auftreten, zudem sei eine progrediente Verschlechterung zu erwarten. Es ist mithin davon auszugehen, dass der Versicherte zur Erhaltung seiner verbleibenden Erwerbsfähigkeit dauernd der Behandlung bedarf. Da dem Beschwerdeführer für den Zeitraum, in dem die Behandlung stattfand, von der Invalidenversicherung in Folge des Unfalles Eingliederungsmassnahmen in Form einer Umschulung zugesprochen worden waren und dieser Anspruch eine Erwerbseinbusse von ca. 20 % voraussetzt ( BGE 124 V 108 E. 2b S. 110 f.; vgl. auch BGE 130 V 488 E. 4.2 S. 489 f.), ist es überwiegend wahrscheinlich, dass er eine unfallversicherungsrechtlich rentenrelevante Einschränkung in der Erwerbsfähigkeit erlitten hatte.</w:t>
      </w:r>
    </w:p>
    <w:p>
      <w:r>
        <w:rPr>
          <w:b/>
        </w:rPr>
        <w:t>E. 3.2</w:t>
      </w:r>
    </w:p>
    <w:p>
      <w:r>
        <w:t>Erfüllt der Versicherte die strengeren Voraussetzungen, unter denen ein Anspruch auf Heilbehandlung im Rahmen des Art. 21 UVG besteht, so kann offenbleiben, ob sich sein Anspruch auf Übernahme der Kosten nach dieser Norm oder nach Art. 10 UVG richtet. Da somit auch dann ein Anspruch besteht, wenn die von der Beschwerdegegnerin auf den 1. Mai 2005 festgesetzte Einstellung der Heilbehandlung im Sinne von Art. 10 UVG rechtens war, braucht deren Rechtmässigkeit nicht überprüft zu werden; die Beschwerde ist dementsprechend ohne Weiterungen gutzuheissen.</w:t>
      </w:r>
    </w:p>
    <w:p>
      <w:r>
        <w:rPr>
          <w:b/>
        </w:rPr>
        <w:t>E. 4</w:t>
      </w:r>
    </w:p>
    <w:p>
      <w:r>
        <w:t>Das Verfahren ist kostenpflichtig ( Art. 65 BGG ). Als unterliegende Partei hat die Beschwerdegegnerin die Gerichtskosten zu tragen ( Art. 66 Abs. 1 BGG ; BGE 133 V 642 E. 5). Diese hat dem Beschwerdeführer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