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8C_692/2011 vom 7. Februar 2012</w:t>
      </w:r>
    </w:p>
    <w:p>
      <w:r>
        <w:t>Bundesgericht, 2012-02-07, DE</w:t>
      </w:r>
    </w:p>
    <w:p>
      <w:r>
        <w:rPr>
          <w:b/>
        </w:rPr>
        <w:t xml:space="preserve">Quelle: </w:t>
      </w:r>
      <w:r>
        <w:t>https://mcp.opencaselaw.ch/entscheid/bger_8C_692_2011</w:t>
      </w:r>
    </w:p>
    <w:p>
      <w:r>
        <w:t>FR: TF 8C_692/2011 du 7 février 2012</w:t>
      </w:r>
    </w:p>
    <w:p>
      <w:r>
        <w:t>IT: TF 8C_692/2011 del 7 febbraio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einerseits weiterhin Anspruch auf Taggeld- und Heilbehandlungsleistungen der Unfallversicherung hat und andererseits, ob die SUVA ihm eine höhere als die zugesprochene Integritätsentschädigung schuldet. Nicht zum Streitgegenstand gehört demgegenüber die Frage, ob der Beschwerdeführer allenfalls Anspruch auf eine Invalidenrente der Unfallversicherung hat.</w:t>
      </w:r>
    </w:p>
    <w:p>
      <w:r>
        <w:rPr>
          <w:b/>
        </w:rPr>
        <w:t>E. 3.1</w:t>
      </w:r>
    </w:p>
    <w:p>
      <w:r>
        <w:t>Der dritte Titel des UVG behandelt die Versicherungsleistungen. Das erste Kapitel dieses Titels ist den Pflegeleistungen und Kostenvergütungen, das zweite Kapitel den Geldleistungen und das dritte Kapitel deren Kürzung und Verweigerung aus besonderen Gründen gewidmet. Kerngehalt der Pflegeleistungen bildet die Heilbehandlung in Art. 10 UVG . Diese zählt wie das in Art. 16 f. UVG geregelte Taggeld und anders als etwa die als klassische Dauerleistung geltende Invalidenrente gemäss Art. 18 ff. UVG zu den vorübergehenden Leistungen (vgl. BGE 133 V 57 E. 6.6 und 6.7 S. 63 ff. mit Hinweisen). Bis zu welchem Zeitpunkt Heilbehandlung und Taggeld durch den Unfallversicherer zu gewähren ist, kann dem ersten Kapitel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wo dies für den Taggeldanspruch nochmals statuiert wird). Nach konstanter Rechtsprechung heisst dies,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 BGE 134 V 109 E. 4.1 S. 113 f.).</w:t>
      </w:r>
    </w:p>
    <w:p>
      <w:r>
        <w:rPr>
          <w:b/>
        </w:rPr>
        <w:t>E. 3.2</w:t>
      </w:r>
    </w:p>
    <w:p>
      <w:r>
        <w:t>Für die richterliche Beurteilung sind grundsätzlich die tatsächlichen Verhältnisse zur Zeit des Erlasses des strittigen Einspracheentscheides massgebend ( BGE 116 V 246 E. 1a S. 248). Tatsachen, die sich erst später verwirklichen, sind insoweit zu berücksichtigen, als sie mit dem Streitgegenstand in engem Sachzusammenhang stehen und geeignet sind, die Beurteilung im Zeitpunkt des Erlasses des Einspracheentscheides zu beeinflussen ( BGE 121 V 362 E. 1b S. 366; RKUV 2001 Nr. U 419 S 101, U 170/00 E. 2).</w:t>
      </w:r>
    </w:p>
    <w:p>
      <w:r>
        <w:rPr>
          <w:b/>
        </w:rPr>
        <w:t>E. 4.1</w:t>
      </w:r>
    </w:p>
    <w:p>
      <w:r>
        <w:t>Gemäss den Einschätzungen des SUVA-Kreisarztes Dr. med. W.________, FMH für orthopädische Chirurgie, vom 1. April 2009, darf dem Beschwerdeführer ab dem Berichtsdatum wieder ein volles Arbeitspensum in seiner angestammten Tätigkeit zugemutet werden. Auf die Weiterführung des Therapieprogrammes könne verzichtet werden, etwa ein Jahr nach dem Unfall sei keine namhafte Besserung des Gesundheitszustandes mehr zu erwarten. Der Hausarzt des Versicherten, Dr. med. K.________, Allgemeinmedizin FMH, geht in seinem Bericht vom 8. Mai 2009 auch in Kenntnis der kreisärztlichen Einschätzung von einer 25%igen Einschränkung in der Arbeitsfähigkeit aus. Der Bericht äussert sich hingegen nicht zur Frage, ob durch die Fortsetzung der ärztlichen Behandlung noch eine namhafte Besserung zu erwarten ist. In Kenntnis der im April 2010 angefertigten MRI-Aufnahmen bestätigt derselbe Arzt in seinem Bericht vom 26. April 2010 weiterhin eine 25%ige Einschränkung in der angestammten Tätigkeit des Versicherten, zudem stellt er nunmehr ausdrücklich eine eher ungünstige Prognose. In seinem Bericht vom 15. Juni 2010 geht Dr. med. P.________, FMH Innere Medizin/Rheumatologie ebenfalls von einer 75%igen Arbeitsfähigkeit in der angestammten Tätigkeit aus, in einer leidensangepassten Tätigkeit wäre der Versicherte sofort voll arbeitsfähig. Aufgrund der radiologischen Aufnahmen rechnet dieser Arzt mit einer Persistenz der Beschwerden.</w:t>
      </w:r>
    </w:p>
    <w:p>
      <w:r>
        <w:rPr>
          <w:b/>
        </w:rPr>
        <w:t>E. 4.2</w:t>
      </w:r>
    </w:p>
    <w:p>
      <w:r>
        <w:t>Auf die Berichte versicherungsinterner Ärzte kann rechtsprechungsgemäss dann abgestellt werden, wenn auch nicht geringe Zweifel an der Richtigkeit ihrer Schlussfolgerungen bestehen ( BGE 135 V 465 E. 4.7 S. 471). Die Berichte der Dres. med. K.________ und P.________ wären allenfalls geeignet, solche geringen Zweifel an der kreisärztlichen Feststellung einer 100%igen Arbeitsfähigkeit in der angestammten Tätigkeit zu begründen. Keine solchen Zweifel wecken sie indessen an der Einschätzung des Kreisarztes, dass nach April 2009 keine namhafte Besserung des Gesundheitszustandes mehr zu erwarten war. Somit hat die SUVA ihre Heilbehandlungs- und Taggeldleistungen zu Recht eingestellt. Ob der Beschwerdeführer bei dieser Ausgangslage allenfalls Anspruch auf eine Invalidenrente der Unfallversicherung hat, ist nicht im vorliegenden Verfahren zu klären.</w:t>
      </w:r>
    </w:p>
    <w:p>
      <w:r>
        <w:rPr>
          <w:b/>
        </w:rPr>
        <w:t>E. 4.3</w:t>
      </w:r>
    </w:p>
    <w:p>
      <w:r>
        <w:t>Der Kreisarzt schätzte die Integritätseinbusse am 31. März 2009 auf 10 %. Ausweislich der medizinischen Akten wurde diese Einschätzung von keiner medizinischen Fachperson angezweifelt. Somit ist nicht zu beanstanden, dass Vorinstanz und Verwaltung die Höhe der Integritätsentschädigung auf der Basis dieser Einschätzung bestimmt haben.</w:t>
      </w:r>
    </w:p>
    <w:p>
      <w:r>
        <w:rPr>
          <w:b/>
        </w:rPr>
        <w:t>E. 4.4</w:t>
      </w:r>
    </w:p>
    <w:p>
      <w:r>
        <w:t>Erfolgte die Einstellung der Heilbehandlungs- und Taggeldleistungen zu Recht und ist keine höhere als die zugesprochene Integritätsentschädigung geschuldet, so ist der vorinstanzliche Entscheid nicht zu beanstanden. Die Beschwerde des Versicherten ist dementsprechend abzuweisen.</w:t>
      </w:r>
    </w:p>
    <w:p>
      <w:r>
        <w:rPr>
          <w:b/>
        </w:rPr>
        <w:t>E. 5</w:t>
      </w:r>
    </w:p>
    <w:p>
      <w:r>
        <w:t>Dem Ausgang der Verfahren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