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8C_691/2016 vom 30. November 2016</w:t>
      </w:r>
    </w:p>
    <w:p>
      <w:r>
        <w:t>Bundesgericht, 2016-11-30, FR</w:t>
      </w:r>
    </w:p>
    <w:p>
      <w:r>
        <w:rPr>
          <w:b/>
        </w:rPr>
        <w:t xml:space="preserve">Quelle: </w:t>
      </w:r>
      <w:r>
        <w:t>https://mcp.opencaselaw.ch/entscheid/bger_8C_691_2016</w:t>
      </w:r>
    </w:p>
    <w:p>
      <w:r>
        <w:t>FR: TF 8C_691/2016 du 30 novembre 2016</w:t>
      </w:r>
    </w:p>
    <w:p>
      <w:r>
        <w:t>IT: TF 8C_691/2016 del 30 novembre 2016</w:t>
      </w:r>
    </w:p>
    <w:p>
      <w:pPr>
        <w:pStyle w:val="Heading2"/>
      </w:pPr>
      <w:r>
        <w:t>Erwägungen</w:t>
      </w:r>
    </w:p>
    <w:p>
      <w:r>
        <w:rPr>
          <w:b/>
        </w:rPr>
        <w:t>E. 1</w:t>
      </w:r>
    </w:p>
    <w:p>
      <w:r>
        <w:t>Le présent recours est dirigé contre un arrêt par lequel la Chambre d'appel civile, à l'instar du Tribunal de prud'hommes, a rejeté le moyen tiré de la prescription. L'arrêt attaqué ne constitue donc qu'une étape vers la décision finale portant sur la prétention de l'intimé. Il doit donc être qualifié de décision incidente contre laquelle le recours devant le Tribunal fédéral suppose que les conditions de l' art. 93 al. 1 LTF soient réunies (voir arrêt 2C_814/2012 du 7 mai 2013 consid. 2).</w:t>
      </w:r>
    </w:p>
    <w:p>
      <w:r>
        <w:rPr>
          <w:b/>
        </w:rPr>
        <w:t>E. 2</w:t>
      </w:r>
    </w:p>
    <w:p>
      <w:r>
        <w:t>Le jugement incident s'inscrit dans une cause pécuniaire qui ressortit aux rapports de travail de droit public au sens de l' art. 83 let . g LTF et dont la valeur litigieuse excède manifestement le seuil légal de 15'000 fr., qui ouvre la voie du recours en matière de droit public en ce domaine ( art. 51 al. 1 let . c et 85 al. 1 let. b LTF; cf. p. ex. arrêt 4A_328/2016 du 10 novembre 2016 consid. 1).</w:t>
      </w:r>
    </w:p>
    <w:p>
      <w:r>
        <w:rPr>
          <w:b/>
        </w:rPr>
        <w:t>E. 3</w:t>
      </w:r>
    </w:p>
    <w:p>
      <w:r>
        <w:t>Selon l' art. 93 al. 1 LTF , une décision préjudicielle ou incidente peut être entreprise immédiatement si elle peut causer un préjudice irréparable (let. a) ou si l'admission du recours peut conduire immédiatement à une décision finale qui permet d'éviter une procédure probatoire longue et coûteuse (let. b). Les deux conditions requises par l' art. 93 al. 1 let. b LTF sont cumulatives (cf. ATF 133 III 629 consid. 2.4.1 p. 633). Par préjudice irréparable, on entend le dommage juridique qu'une décision finale, même favorable au recourant, ne ferait pas disparaître complètement ( ATF 135 II 30 consid. 1.3.4 p. 36; 134 III 426 consid. 1.3.1 p. 430; 133 III 629 consid. 2.3.1 p. 632 et les arrêts cités). En l'espèce, le recourant pourra contester le rejet de l'exception de prescription dans un éventuel recours contre la décision finale ( art. 93 al. 3 LTF ). Les conditions de l'ouverture d'un recours immédiat selon l' art. 93 al. 1 let. a LTF ne sont donc pas réalisées. Le recourant, au demeurant, ne prétend pas le contraire.</w:t>
      </w:r>
    </w:p>
    <w:p>
      <w:r>
        <w:rPr>
          <w:b/>
        </w:rPr>
        <w:t>E. 4.1</w:t>
      </w:r>
    </w:p>
    <w:p>
      <w:r>
        <w:t>L'ouverture du recours, prévue pour des motifs d'économie de procédure ( art. 93 al. 1 let. b LTF ), contre une décision incidente doit être interprétée de manière restrictive ( ATF 133 IV 288 consid. 3.2 p. 292).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134 II 137 consid. 1.3.3 p. 141; 133 III 629 consid. 2.4.2 p. 633).</w:t>
      </w:r>
    </w:p>
    <w:p>
      <w:r>
        <w:t>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4A_436/2015 du 17 mai 2016 consid. 1.3.1; 2C_814/2012 du 7 mai 2013 consid. 3.3; 4A_632/2012 du 21 février 2013 consid. 2.2.2).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4A_632/2012 du 21 février 2013 consid. 2.2.2).</w:t>
      </w:r>
    </w:p>
    <w:p>
      <w:r>
        <w:t>Le Tribunal fédéral a par exemple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(arrêt 2C_111/2011 du 7 juillet 2011 consid. 1.1.3, in SJ 2012 I p. 97). De même, le Tribunal fédéral a considéré que l'audition d'une dizaine de témoins, l'interrogatoire des parties et la mise en oeuvre d'une expertise judiciaire, eu égard au nombre de personnes impliquées, à la complexité de la situation de fait et de droit et à l'existence d'une procédure pénale parallèle de grande ampleur, constituaient des mesures probatoires de nature à "renchérir[...] et rallonger[...] indubitablement la procédure probatoire au point de justifier le recours immédiat au Tribunal fédéral" (arrêt 4A_210/2010 du 1</w:t>
      </w:r>
    </w:p>
    <w:p>
      <w:r>
        <w:t>er octobre 2010 consid. 3.3.2.1, non publié in ATF 136 III 502 ).</w:t>
      </w:r>
    </w:p>
    <w:p>
      <w:r>
        <w:rPr>
          <w:b/>
        </w:rPr>
        <w:t>E. 4.2</w:t>
      </w:r>
    </w:p>
    <w:p>
      <w:r>
        <w:t>Le recourant fait tout d'abord valoir que de nombreuses mesures d'instruction seront nécessaires en relation avec la pratique suivie entre 1999 et 2006 au sein des Hospices cantonaux en matière de gains accessoires. Il conteste que les règlements en vigueur à l'époque comportaient une obligation de rétrocession des gains complémentaires tels que ceux qu'il a réalisés. Il conteste également que ces règlements aient été interprétés et appliqués, tant par les employés que par l'Administration des Hospices cantonaux, de manière à solliciter des rétrocessions des gains réalisés pour des activités hors service n'ayant pas mobilisé les ressources de l'employeur. Selon le recourant, cette contestation nécessiterait l'audition de nombreux témoins, la réquisition de nombreuses pièces comptables, ainsi qu'une expertise.</w:t>
      </w:r>
    </w:p>
    <w:p>
      <w:r>
        <w:t>Des mesures probatoires importantes seraient également nécessaires pour qualifier chacune des activités accessoires qui ont donné lieu à un versement sur un compte sur lequel le recourant avait la signature. Celui-ci fait valoir que certains comptes étaient ouverts au nom d'associations ou d'entités auxquelles étaient parties d'autres personnes physiques, notamment des professeurs étrangers, co-organisateurs des congrès. Ici également, une expertise comptable serait nécessaire pour déterminer ce qui est finalement revenu au recourant à titre personnel parmi l'entier des sommes entrées dans le patrimoine des entités organisatrices des congrès, en transitant sur les comptes identifiés au cours de l'enquête pénale.</w:t>
      </w:r>
    </w:p>
    <w:p>
      <w:r>
        <w:t>Enfin, selon le recourant toujours, les activités d'organisation de congrès ayant parfois été accomplies avec d'autres professeurs étrangers, à l'étranger, l'audition de ses co-organisateurs devrait vraisemblablement faire l'objet de commissions rogatoires.</w:t>
      </w:r>
    </w:p>
    <w:p>
      <w:r>
        <w:rPr>
          <w:b/>
        </w:rPr>
        <w:t>E. 4.3</w:t>
      </w:r>
    </w:p>
    <w:p>
      <w:r>
        <w:t>La première des conditions de l' art. 93 al. 1 let. b LTF est réalisée, car l'admission de l'exception de prescription mettrait définitivement fin au litige. En revanche, la deuxième condition ne l'est pas:</w:t>
      </w:r>
    </w:p>
    <w:p>
      <w:r>
        <w:t>La pratique suivie par les Hospices cantonaux en matière de rétrocession de gains accessoires est avant tout une question qui relève des règlementations en vigueur à ce sujet et de leur interprétation, soit des problèmes dont la résolution nécessite avant tout des démarches d'ordre juridique qui n'entrent pas dans les prévisions de l' art. 93 al. 1 let. b LTF . Il est certes possible que l'application, dans les faits, de la pratique des Hospices cantonaux puisse prêter à discussion. Mais on ne voit pas, a priori, que d'éventuels éclaircissements à ce sujet puissent entraîner d'importantes mesures d'instruction et il n'est pas démontré, à ce stade, qu'une expertise soit nécessaire pour résoudre cette question réglementaire.</w:t>
      </w:r>
    </w:p>
    <w:p>
      <w:r>
        <w:t>Il n'apparaît pas non plus que la complexité des structures invoquées par le recourant soit propre à justifier un recours immédiat devant le Tribunal fédéral. Il semble que les faits aient été, en partie tout au moins, démêlés au cours de l'instruction pénale. Selon le jugement attaqué (p. 9), il ressort de l'ordonnance du 11 mars 2009 que 82 entrées de fonds sur différents comptes dont le défendeur était l'ayant droit économique, représentant un montant de 10'929'939 fr., ont été considérées comme douteuses. Le juge d'instruction cantonal a estimé que seuls les versements de quelques centaines de milliers de francs constitués de multiples versements d'importance relativement faible demeuraient partiellement ou totalement inexpliqués. Les montants les plus importants ont été classés en trois catégories, à savoir les fonds détournés, les fonds provenant de gains accessoires et les encaissements pour le compte d'associations ou de fondations (jugement attaqué p. 9). Même si une expertise était nécessaire pour déterminer les fonds dont aurait bénéficié personnellement le recourant, on ne saurait affirmer d'emblée que celle-ci serait particulièrement complexe.</w:t>
      </w:r>
    </w:p>
    <w:p>
      <w:r>
        <w:t>Enfin, le recourant n'expose pas très précisément en quoi l'audition de co-organisateurs de congrès à l'étranger serait indispensable et l'opportunité d'une telle mesure n'est pas manifeste en l'état.</w:t>
      </w:r>
    </w:p>
    <w:p>
      <w:r>
        <w:rPr>
          <w:b/>
        </w:rPr>
        <w:t>E. 4.4</w:t>
      </w:r>
    </w:p>
    <w:p>
      <w:r>
        <w:t>Dans ces circonstances, on ne peut pas retenir que la procédure probatoire, par sa durée et son coût s'écarte notablement des procès habituels. La valeur litigieuse est certes importante. Mais cet élément, selon le texte légal, n'est pas pris en considération dans l'appréciation de cette condition.</w:t>
      </w:r>
    </w:p>
    <w:p>
      <w:r>
        <w:rPr>
          <w:b/>
        </w:rPr>
        <w:t>E. 5</w:t>
      </w:r>
    </w:p>
    <w:p>
      <w:r>
        <w:t>A cela s'ajoute que le fondement de la responsabilité éventuelle du recourant n'est pas définitivement arrêté. La cour cantonale a examiné successivement la question de la prescription sous l'angle de la loi [du canton de Vaud] sur la responsabilité de l'Etat, des communes et de leurs agents (LRECA/VD; RS/VD 170.11), soit une responsabilité délictuelle (art. 9), et à la lumière de la loi sur le personnel de l'Etat de Vaud (LPers-VD; RS/VD 172.31), soit une responsabilité contractuelle ( art. 337b CO en corrélation avec l' art. 61 al. 2 LPers -VD). Le Tribunal de prud'hommes paraît, à ce stade, avoir laissé ouverte la question de savoir quelle loi était applicable en l'espèce, tandis que le recourant soutient que la LRECA a été appliquée "de manière arbitraire". Il n'appartient cependant pas au Tribunal fédéral d'examiner maintenant et de manière abstraite la question de la prescription au titre de divers chefs de responsabilité qui pourraient entrer en considération et encore moins de trancher préjudiciellement le fondement d'une éventuelle responsabilité du recourant.</w:t>
      </w:r>
    </w:p>
    <w:p>
      <w:r>
        <w:rPr>
          <w:b/>
        </w:rPr>
        <w:t>E. 6</w:t>
      </w:r>
    </w:p>
    <w:p>
      <w:r>
        <w:t>De ce qui précède, il résulte que le recours ne satisfait pas aux conditions de recevabilité de l' art. 93 al. 1 let. a et b LTF . En conséquence, il doit être déclaré irrecevable. Compte tenu de l'issue du litige,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