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8C_690/2015 vom 17. Mai 2016</w:t>
      </w:r>
    </w:p>
    <w:p>
      <w:r>
        <w:t>Bundesgericht, 2016-05-17, FR</w:t>
      </w:r>
    </w:p>
    <w:p>
      <w:r>
        <w:rPr>
          <w:b/>
        </w:rPr>
        <w:t xml:space="preserve">Quelle: </w:t>
      </w:r>
      <w:r>
        <w:t>https://mcp.opencaselaw.ch/entscheid/bger_8C_690_2015</w:t>
      </w:r>
    </w:p>
    <w:p>
      <w:r>
        <w:t>FR: TF 8C_690/2015 du 17 mai 2016</w:t>
      </w:r>
    </w:p>
    <w:p>
      <w:r>
        <w:t>IT: TF 8C_690/2015 del 17 maggio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la prise en charge par l'intimée des suites de l'événement du 23 mai 2000.</w:t>
      </w:r>
    </w:p>
    <w:p>
      <w:r>
        <w:rPr>
          <w:b/>
        </w:rPr>
        <w:t>E. 3</w:t>
      </w:r>
    </w:p>
    <w:p>
      <w:r>
        <w:t>Lorsque le jugement entrepris porte sur des prestations en espèces et en nature de l'assurance-accidents (frais de traitement et indemnité journalière),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8C_560/2015 du 29 avril 2016 consid. 2; 8C_440/2015 du 14 avril 2016 consid. 2).</w:t>
      </w:r>
    </w:p>
    <w:p>
      <w:r>
        <w:rPr>
          <w:b/>
        </w:rPr>
        <w:t>E. 4</w:t>
      </w:r>
    </w:p>
    <w:p>
      <w:r>
        <w:t>Constatant que le recourant n'alléguait présenter des troubles en lien avec l'événement du 23 mai 2000 qu'au niveau des cervicales, en se référant à une appréciation du docteur C.________, du 20 mai 2013, produite dans le cadre de la procédure de recours (cf. écriture du recourant du 4 juillet 2013), l'autorité cantonale a rejeté le recours sur la base d'une double motivation. Premièrement, elle a jugé que même en admettant que les diagnostics posés par le docteur C.________ - à savoir ceux de fracture ancienne de l'apophyse odontoïde et d'entorse au niveau C6-C7 - puissent être considérés comme des lésions assimilées à un accident au sens de l' art. 9 al. 2 OLAA , la condition de la cause extérieure n'était pas réalisée. Elle a d'autre part considéré, au terme d'une appréciation des rapports médicaux se trouvant au dossier, qu'il n'existait pas de lien de causalité entre les troubles allégués par le recourant au niveau de sa colonne cervicale et l'événement du 23 mai 2000.</w:t>
      </w:r>
    </w:p>
    <w:p>
      <w:r>
        <w:rPr>
          <w:b/>
        </w:rPr>
        <w:t>E. 5.1</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 art. 9 al. 2 OLAA mentionne les fractures (let. a) et les lésions de ligaments (let. g).</w:t>
      </w:r>
    </w:p>
    <w:p>
      <w:r>
        <w:rPr>
          <w:b/>
        </w:rPr>
        <w:t>E. 5.2</w:t>
      </w:r>
    </w:p>
    <w:p>
      <w:r>
        <w:t>A l'exception du caractère extraordinaire de la cause extérieure, toutes les autres conditions constitutives de la notion d'accident mentionnées à l' art. 4 LPGA doivent être réalisées ( ATF 129 V 466 consid. 2.2 p. 467). Le facteur doit être extérieur en ce sens qu'il doit s'agir d'une cause externe et non interne au corps humain. Par ailleurs, il faut admettre l'existence d'un facteur extérieur générant un risque de lésion accru lorsqu'un geste quotidien représente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 effectue un mouvement violent non maîtrisé ( ATF 139 V 327 consid. 3.3.1 p. 329).</w:t>
      </w:r>
    </w:p>
    <w:p>
      <w:r>
        <w:rPr>
          <w:b/>
        </w:rPr>
        <w:t>E. 6.1</w:t>
      </w:r>
    </w:p>
    <w:p>
      <w:r>
        <w:t>Lors d'un entretien avec un inspecteur de la CNA, le recourant a décrit comme suit les circonstances de l'événement du 23 mai 2000:</w:t>
      </w:r>
    </w:p>
    <w:p>
      <w:r>
        <w:t>"Le 23 mai 2000 au matin, avec mon équipe soit 2 temporaires et 3 de chez E.________, nous avons été chargés de changer un vitrage cassé au Centre commercial F.________ au centre de U.________. Ce vitrage formait le toit en pente du café faisant partie du centre. Nous avons commencé par monter un échafaudage car il était impossible d'accéder avec le camion-grue. Ensuite, nous avons enlevé le vitrage cassé que nous avons ramené au camion. C'est un trajet de 70m. Là, à 3 personnes, nous avons pris le verre neuf, d'une épaisseur de 2 fois 7mm et d'une taille d'environ, selon mes souvenirs, de 2 m par 2,5 m. C'était très lourd. Je n'avais jamais porté quelque chose d'aussi lourd. Pourtant, j'avais l'habitude et j'étais sportif, en forme. J'étais à l'arrière. Un collègue au milieu et un devant. Arrivé à l'échafaudage, nous avons monté le verre par l'extérieur. Les 2 autres collègues étaient sur l'échafaudage. Nous poussions le verre au-dessus de nos têtes et ils l'ont récupéré. Durant cette manoeuvre, j'ai senti comme quelque chose qui s'étirait dans la nuque à gauche et dans l'épaule à gauche. Là, nous les avons rejoints pour mettre le verre sur le toit. C'était la même manoeuvre. J'étais à l'arrière. Je tenais le bas du verre avec ma main gauche et le haut avec la droite. Lorsque j'ai fait l'effort pour monter le verre à portée des collègues, aidé par 2 personnes, j'ai senti comme un coup de marteau à gauche derrière la tête avec une douleur partant du dessus de l'oeil gauche, partant dans la nuque à gauche, puis l'épaule gauche et sur le bras gauche jusqu'au poignet et également jusque dans le bas du dos à gauche, la fesse gauche, derrière la cuisse jusque dans le creux du genou et sur le devant de la cuisse gauche jusque dans le bord externe du pied gauche sous la malléole gauche et jusque dans les orteils. J'avais aussi une douleur comme une plaie au couteau dans la zone abdominale. (...) Il ne s'est rien passé d'autre. Pas de choc, de bousculade. Rien n'a cassé. Le geste s'est déroulé normalement".</w:t>
      </w:r>
    </w:p>
    <w:p>
      <w:r>
        <w:rPr>
          <w:b/>
        </w:rPr>
        <w:t>E. 6.2</w:t>
      </w:r>
    </w:p>
    <w:p>
      <w:r>
        <w:t>Le déroulement de l'événement en cause ne permet pas de conclure à l'existence d'une cause extérieure générant un risque de lésion accru, en l'absence d'élément particulier tel une chute, un coup ou un mouvement brusque. En outre, comme le soulignent les premiers juges, il est constant en l'espèce que le soulèvement de la vitre n'a pas été effectué dans une position instable susceptible d'entraîner un mouvement violent non maîtrisé. Il n'était pas non plus question d'un changement de position du corps brusque ou incontrôlé, apte à provoquer une lésion corporelle selon les constatations de la médecine des accidents. On ajoutera que le fait de hisser une vitre, de surcroît aidé par deux autres ouvriers, ne sort pas véritablement du champ d'activités que le recourant exerçait en sa qualité d'ouvrier-serrurier pour le compte de son employeur à l'époque des faits. Le recourant a au demeurant affirmé qu'il avait l'habitude de porter de lourdes charges et qu'il était sportif et en forme. Rien dans les déclarations de celui-ci ne laisse supposer qu'il ait fourni, le jour en question, un effort manifestement excessif par rapport à ses possibilités, nonobstant le poids de la vitre.</w:t>
      </w:r>
    </w:p>
    <w:p>
      <w:r>
        <w:rPr>
          <w:b/>
        </w:rPr>
        <w:t>E. 6.3</w:t>
      </w:r>
    </w:p>
    <w:p>
      <w:r>
        <w:t>Le recourant fait valoir qu'une expertise eût été nécessaire pour bien mesurer "l'approche traumatologique du cas". Selon lui, on ne pouvait affirmer, sur la base des seuls éléments au dossier, que la condition du facteur extérieur faisait défaut en l'occurrence. Il fait valoir que sa posture non ergonomique au moment du sinistre, laquelle s'apparentait plus à un mouvement d'haltérophile que d'ouvrier-serrurier, constituait clairement une cause extérieure. Ce faisant, le recourant se contente de simples allégations, qui ne résultent au demeurant pas de ses déclarations antérieures et qui ne suffisent pas à établir, au degré de vraisemblance requis (cf. ATF 129 V 177 consid. 3.1 p. 181 et les références), la présence d'un facteur extérieur. Sur ce point, son argumentation extrêmement sommaire se situe à la limite de la recevabilité. S'agissant de l'expertise qu'il sollicite, on ne voit pas ce que celle-ci pourrait apporter comme éléments utiles, plus de quinze ans après l'événement en question, pour établir l'intervention d'une cause extérieure dans le déroulement des faits. Dès lors qu'un facteur extérieur fait défaut dans le cas d'espèce, il n'est pas nécessaire d'examiner si les troubles invoqués par le recourant entrent dans la liste exhaustive des lésions corporelles assimilées à un accident prévue à l' art. 9 al. 2 OLAA , question également laissée indécise par la juridiction cantonale.</w:t>
      </w:r>
    </w:p>
    <w:p>
      <w:r>
        <w:rPr>
          <w:b/>
        </w:rPr>
        <w:t>E. 6.4</w:t>
      </w:r>
    </w:p>
    <w:p>
      <w:r>
        <w:t>Le rejet du grief soulevé ici par le recourant suffit à sceller le sort du litige. Il est donc superflu d'examiner les griefs du recourant dirigés contre la seconde motivation de la cour cantonale relative au lien de causalité entre les troubles allégués et l'événement du 23 mai 2000.</w:t>
      </w:r>
    </w:p>
    <w:p>
      <w:r>
        <w:rPr>
          <w:b/>
        </w:rPr>
        <w:t>E. 7</w:t>
      </w:r>
    </w:p>
    <w:p>
      <w:r>
        <w:t>En conclusion,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