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690/2010 vom 1. November 2010</w:t>
      </w:r>
    </w:p>
    <w:p>
      <w:r>
        <w:t>Bundesgericht, 2010-11-01, DE</w:t>
      </w:r>
    </w:p>
    <w:p>
      <w:r>
        <w:rPr>
          <w:b/>
        </w:rPr>
        <w:t xml:space="preserve">Quelle: </w:t>
      </w:r>
      <w:r>
        <w:t>https://mcp.opencaselaw.ch/entscheid/bger_8C_690_2010</w:t>
      </w:r>
    </w:p>
    <w:p>
      <w:r>
        <w:t>FR: TF 8C 690/2010 du 1 novembre 2010</w:t>
      </w:r>
    </w:p>
    <w:p>
      <w:r>
        <w:t>IT: TF 8C 690/2010 del 1 novembre 2010</w:t>
      </w:r>
    </w:p>
    <w:p>
      <w:pPr>
        <w:pStyle w:val="Heading2"/>
      </w:pPr>
      <w:r>
        <w:t>Regeste</w:t>
      </w:r>
    </w:p>
    <w:p>
      <w:r>
        <w:t>Öffentliches Personalrecht (ordentliche Kündigung) | Öffentliches Dienstverhältnis</w:t>
      </w:r>
    </w:p>
    <w:p>
      <w:pPr>
        <w:pStyle w:val="Heading2"/>
      </w:pPr>
      <w:r>
        <w:t>Erwägungen</w:t>
      </w:r>
    </w:p>
    <w:p>
      <w:r>
        <w:rPr>
          <w:b/>
        </w:rPr>
        <w:t>E. 1</w:t>
      </w:r>
    </w:p>
    <w:p>
      <w:r>
        <w:t>Der angefochtene Entscheid, ein Endentscheid einer letzten kantonalen Instanz ( Art. 86 Abs. 1 lit. d, Art. 90 BGG ), betrifft die Kündigung eines öffentlich-rechtlichen Arbeitsverhältnisses - also eine öffentlich-rechtliche Angelegenheit im Sinne von Art. 82 lit. a BGG - und damit verbundene Entschädigungsforderungen. Es handelt sich somit um eine vermögensrechtliche Streitigkeit, weshalb der Ausschlussgrund nach Art. 83 lit. g BGG nicht vorliegt. Die Streitwertgrenze von Fr. 15'000.- ( Art. 51 Abs. 1 lit. a, Art. 85 Abs. 1 lit. b BGG ) ist angesichts der vorinstanzlich gestellten Anträge (u.a. Zusprechung einer Genugtuung in Höhe von Fr. 5000.-, Abfindung von mindestens Fr. 20'000.-) überschritten.</w:t>
      </w:r>
    </w:p>
    <w:p>
      <w:r>
        <w:rPr>
          <w:b/>
        </w:rPr>
        <w:t>E. 2.1</w:t>
      </w:r>
    </w:p>
    <w:p>
      <w:r>
        <w:t>Die Beschwerde in öffentlich-rechtlichen Angelegenheiten kann wegen Rechtsverletzung gemäss Art. 95 f. BGG erhoben werden. Der vorinstanzliche Entscheid stützt sich in der Sache auf kantonales Recht. Als Beschwerdegrund kommt im Wesentlichen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 Urteil 8C_123/2009 vom 18. Januar 2010 E. 2 mit Hinweisen).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auch zum Folgenden).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w:t>
      </w:r>
    </w:p>
    <w:p>
      <w:r>
        <w:rPr>
          <w:b/>
        </w:rPr>
        <w:t>E. 2.2.1</w:t>
      </w:r>
    </w:p>
    <w:p>
      <w:r>
        <w:t>In Ergänzung zu den Rügen, die sich aus Art. 95 f. BGG ergeben,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 S. 252).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 140 E. 5.4 S. 148 ; 133 I 149 E. 3.1 S. 153 mit Hinweisen).</w:t>
      </w:r>
    </w:p>
    <w:p>
      <w:r>
        <w:rPr>
          <w:b/>
        </w:rPr>
        <w:t>E. 2.2.2</w:t>
      </w:r>
    </w:p>
    <w:p>
      <w:r>
        <w:t>Soweit es um die Frage geht, ob der Sachverhalt willkürlich oder unter verfassungswidriger Verletzung einer kantonalen Verfahrensvorschrift ermittelt worden ist, gelten strenge Anforderungen an die Begründung der Beschwerde, vergleichbar mit der Rügepflicht nach Art. 106 Abs. 2 BGG (vgl. E. 2.1). Entsprechende Beanstandungen müssen präzise vorgebracht und begründet werden. Es genügt nicht, einen von den tatsächlichen Feststellungen der Vorinstanz abweichenden Sachverhalt zu behaupten. Vielmehr ist in der Beschwerde darzulegen, inwiefern die Feststellungen willkürlich bzw. unter Verletzung einer verfahrensrechtlichen Verfassungsvorschrift zustande gekommen sind ( BGE 133 II 249 E. 1.4.3. S. 255).</w:t>
      </w:r>
    </w:p>
    <w:p>
      <w:r>
        <w:rPr>
          <w:b/>
        </w:rPr>
        <w:t>E. 3.1</w:t>
      </w:r>
    </w:p>
    <w:p>
      <w:r>
        <w:t>Streitgegenstand bildet letztinstanzlich die Frage, ob das kantonale Gericht zu Recht - unter dem dargelegten eingeschränkten kognitionsrechtlichen Blickwinkel - die per Ende November 2008 erfolgte Auflösung des Arbeitsverhältnisses vor dem Hintergrund der ins Feld geführten Kündigungsgründe als zwar formell mangelbehaftet, da ohne Ansetzung einer Bewährungsfrist ergangen, sachlich indes gerechtfertigt beurteilt und Ansprüche des Beschwerdeführers auf weitergehende Entschädigung, Abfindung sowie Genugtuung verneint hat.</w:t>
      </w:r>
    </w:p>
    <w:p>
      <w:r>
        <w:rPr>
          <w:b/>
        </w:rPr>
        <w:t>E. 3.2</w:t>
      </w:r>
    </w:p>
    <w:p>
      <w:r>
        <w:t>Die hierfür massgeblichen Rechtsgrundlagen wurden im vorinstanzlichen Entscheid zutreffend wiedergegeben, sodass darauf verwiesen werden kann ( Art. 109 Abs. 3 Satz 2 BGG ).</w:t>
      </w:r>
    </w:p>
    <w:p>
      <w:r>
        <w:rPr>
          <w:b/>
        </w:rPr>
        <w:t>E. 4.1</w:t>
      </w:r>
    </w:p>
    <w:p>
      <w:r>
        <w:t>Das kantonale Gericht hat in einlässlicher Würdigung der entscheidrelevanten Sachumstände erkannt, dass von den in der Verfügung des Amt X.________ vom 26. August 2008 aufgeführten Kündigungsgründe zwar die sexuelle und sexistische Belästigung ausscheide. Dennoch reichten die verbliebenen, rechtsgenüglich festgestellten Mängel in Form des Wegschliessens von Unterlagen, deren unsachgemässer Ablage, der fehlenden Notizen und Korrespondenzen, eines einmaligen Alkoholkonsums sowie des anlässlich einer Sitzung vom 22. Mai 2007 an den Tag gelegten Verhaltens in Anbetracht des den Behörden zustehenden Ermessens- und Beurteilungsspielraumes aus, um eine Beendigung des Arbeitsverhältnisses zu rechtfertigen. Namentlich liessen die Verfehlungen und Unterlassungen des Beschwerdeführers im Zusammenhang mit der Verwaltung der Dossiers eine Weiterbeschäftigung als dem öffentlichen Interesse zuwiderlaufend erscheinen, wobei vornehmlich die Anzahl der vorschriftswidrig aufbewahrten Dossiers auf einen eklatanten Verhaltens- und Leistungsmangel hindeutete.</w:t>
      </w:r>
    </w:p>
    <w:p>
      <w:r>
        <w:rPr>
          <w:b/>
        </w:rPr>
        <w:t>E. 4.2.1</w:t>
      </w:r>
    </w:p>
    <w:p>
      <w:r>
        <w:t>In seinen Sachverhaltsrügen beschränkt sich der Beschwerdeführer weitgehend darauf, seine eigene Sicht der Dinge darzulegen, ohne zu begründen, inwiefern der Entscheid des Verwaltungsgerichts qualifiziert bundesrechtswidrig im hievor beschriebenen Sinne sein sollte. Es betrifft dies insbesondere die detaillierten Vorbringen zum jeweiligen Verfahrensstand der gerügten Dossiers bzw. den Einwand, dass dem Amt durch die - zugestandenermassen - unsachgemässe Führung kein Schaden entstanden sei. Ferner unterlässt es der Beschwerdeführer auch darzutun, inwiefern die Würdigung der Vorinstanz, wonach sowohl der einmalige Alkoholkonsum wie auch sein Benehmen anlässlich der Sitzung vom 22. Mai 2007 im Sinne weiterer Verhaltensmängel dazu beigetragen hätten, das für die Zusammenarbeit unerlässliche Vertrauensverhältnis zusätzlich zu erschüttern, einen geradezu willkürlichen oder unter Verletzung verfahrensrechtlicher Verfassungsvorschriften zustande gekommenen Akt darstellt. Nicht erkennbar ist sodann, worin in diesem Zusammenhang der vom Beschwerdeführer behauptete Verstoss gegen das Gebot von Treu und Glauben, das rechtliche Gehör, die arbeitgeberische Fürsorgepflicht oder seine Persönlichkeitsrechte bestehen sollte. Ebenso wenig gelingt es dem Beschwerdeführer, die vorinstanzlichen Ausführungen, es bestünden keine Anhaltspunkte, dass die vorhandenen Arbeitskonflikte einem zielgerichteten, planmässigen Vorgehen seitens des Arbeitgebers zuzuschreiben seien (Mobbing), im Lichte der eingeschränkten Überprüfungsbefugnis in Zweifel zu ziehen. Dasselbe gilt schliesslich bezüglich des Vorwurfs, das kantonale Gericht habe dem am 25. Mai 2007 durch die Abteilungsleiterin ausgesprochenen, dem stadtzürcherischen Personalrecht grundsätzlich unbekannten "Verweis" zu Unrecht den Charakter einer - der Kündigung infolge mangelhafter Arbeitsleistung oder mangelhaften Verhaltens nebst der Bewährungsfrist zwingend voranzugehender - Mahnung mit entsprechender Rüge- und Warnfunktion zuerkannt. Es ist in dieser Hinsicht weder eine willkürliche Rechtsanwendung ersichtlich, noch handelt es sich dabei, wie vom Beschwerdeführer moniert, um eine nicht delegierbare Massnahme, die unmittelbar eine unfreiwillige Lohneinbusse bewirkt.</w:t>
      </w:r>
    </w:p>
    <w:p>
      <w:r>
        <w:rPr>
          <w:b/>
        </w:rPr>
        <w:t>E. 4.2.2</w:t>
      </w:r>
    </w:p>
    <w:p>
      <w:r>
        <w:t>Das Verwaltungsgericht ist nach dem Gesagten nicht in Willkür verfallen, wenn es gestützt auf eine Gesamtwürdigung der Vorfälle davon ausging, die Verhaltensweisen des Beschwerdeführers stellten Verfehlungen dar, die in ihrer Gesamtheit - unter Einhaltung einer dreimonatigen Bewährungsfrist - eine Auflösung des Anstellungsverhältnisses rechtfertigten. Nicht erforderlich war, dass die zur Kündigung führenden Gründe die Fortsetzung des Arbeitsverhältnisses als unzumutbar erscheinen liessen; vielmehr ist eine Kündigung bereits für den Fall als sachlich begründet anzusehen, dass die Weiterbeschäftigung der betreffenden Person dem öffentlichen Interesse, insbesondere demjenigen an einer gut funktionierenden Verwaltung, widerspricht. Dies kann sich aus unzureichenden Leistungen, unbefriedigendem Verhalten, erheblichen Störungen der Arbeitsgemeinschaft oder aus betrieblichen Motiven ergeben (Urteil 8C_826/2009 vom 1. Juli 2010 E. 2 mit Hinweis). Was die vom Beschwerdeführer angezweifelte Angemessenheit der Massnahme und die Frage einer allfälligen Versetzung innerhalb der Stadtverwaltung angeht, erscheint zumindest fraglich, ob diesbezüglich überhaupt rechtsgenügliche Verfassungsrügen anzunehmen sind. Abgesehen davon entspricht es einer allgemeinen Erfahrung, dass ein gravierend gestörtes Arbeitsklima sich über kurz oder lang negativ auf den Betrieb selber auswirkt. Die Aussprechung der Kündigung liegt in einem solchen Fall grundsätzlich im öffentlichen Interesse (Urteil 8C_862/2009 vom 1. Juli 2010 E. 4.5). Es erweist sich daher nicht als willkürlich, dass die Beschwerdegegnerin unter den gegebenen Umständen von einer Weiterbeschäftigung in der bisherigen oder einer ähnlichen Tätigkeit abgesehen hat.</w:t>
      </w:r>
    </w:p>
    <w:p>
      <w:r>
        <w:rPr>
          <w:b/>
        </w:rPr>
        <w:t>E. 5</w:t>
      </w:r>
    </w:p>
    <w:p>
      <w:r>
        <w:t>Da der Beschwerdeführer mit seinen Einwendungen, die Kündigung sei, da nicht durch ihn (mit)verschuldet, missbräuchlich ergangen, nicht zu überzeugen vermag, dringt er weder mit seinem Begehren auf höhere Entschädigung noch mit seinem Antrag durch, es sei ihm zusätzlich eine Abfindung auszurichten. Auch ist, wie das kantonale Gericht überzeugend dargelegt hat, keine haftungsbegründende Widerrechtlichkeit im Sinne einer arglistigen Handlungsweise des Gemeinwesens auszumachen, welche die Zusprechung einer Genugtuung indizierte.</w:t>
      </w:r>
    </w:p>
    <w:p>
      <w:r>
        <w:rPr>
          <w:b/>
        </w:rPr>
        <w:t>E. 6.1</w:t>
      </w:r>
    </w:p>
    <w:p>
      <w:r>
        <w:t>Die offensichtlich unbegründete Beschwerde wird im vereinfachten Verfahren nach Art. 109 Abs. 2 BGG - ohne Durchführung des Schriftenwechsels und unter Verweis auf den kantonalen Entscheid ( Art. 102 Abs. 1 und Art. 109 Abs. 3 BGG ) - erledigt.</w:t>
      </w:r>
    </w:p>
    <w:p>
      <w:r>
        <w:rPr>
          <w:b/>
        </w:rPr>
        <w:t>E. 6.2</w:t>
      </w:r>
    </w:p>
    <w:p>
      <w:r>
        <w:t>Dem Prozessausgang entsprechend sind die Gerichtskosten dem Beschwerdeführer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