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8C_689/2013 vom 24. Januar 2014</w:t>
      </w:r>
    </w:p>
    <w:p>
      <w:r>
        <w:t>Bundesgericht, 2014-01-24, DE</w:t>
      </w:r>
    </w:p>
    <w:p>
      <w:r>
        <w:rPr>
          <w:b/>
        </w:rPr>
        <w:t xml:space="preserve">Quelle: </w:t>
      </w:r>
      <w:r>
        <w:t>https://mcp.opencaselaw.ch/entscheid/bger_8C_689_2013</w:t>
      </w:r>
    </w:p>
    <w:p>
      <w:r>
        <w:t>FR: TF 8C_689/2013 du 24 janvier 2014</w:t>
      </w:r>
    </w:p>
    <w:p>
      <w:r>
        <w:t>IT: TF 8C_689/2013 del 24 gennaio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6 Abs. 1 UVG erbringt die Unfallversicherung auch Leistungen bei Berufskrankheiten. Als Berufskrankheiten gelten nach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Gemäss der Liste im Anhang 1 zur UVV gilt Asbeststaub als schädigender Stoff im Sinne von Art. 9 Abs. 1 UVG .</w:t>
      </w:r>
    </w:p>
    <w:p>
      <w:r>
        <w:rPr>
          <w:b/>
        </w:rPr>
        <w:t>E. 3</w:t>
      </w:r>
    </w:p>
    <w:p>
      <w:r>
        <w:t>Es steht fest und ist unbestritten, dass der Versicherte an einer berufsbedingten Asbeststaub-Exposition verstorben ist. Ebenfalls liegt der grundsätzliche Anspruch der Beschwerdeführerin auf eine Witwenrente ausser Streit. Streitig ist vorliegend einzig, ob Vorinstanz und Verwaltung zu Recht davon ausgegangen sind, der versicherte Verdienst, welcher Grundlage dieser Rente bildet, sei auf Fr. 0.- festzusetzen.</w:t>
      </w:r>
    </w:p>
    <w:p>
      <w:r>
        <w:rPr>
          <w:b/>
        </w:rPr>
        <w:t>E. 4.1</w:t>
      </w:r>
    </w:p>
    <w:p>
      <w:r>
        <w:t>In Anwendung von Art. 15 Abs. 2 UVG gilt als versicherter Verdienst für die Bemessung der Renten der innerhalb eines Jahres vor dem Unfall bezogene Lohn. Soweit im Gesetz nichts anderes bestimmt ist, sind Berufskrankheiten nach Art. 9 Abs. 3 UVG von ihrem Ausbruch an einem Berufsunfall gleichgestellt. Daraus folgt, dass für die Bemessung des versicherten Verdienstes für Renten aufgrund einer Berufskrankheit grundsätzlich der innerhalb eines Jahres vor dem Ausbruch der Berufskrankheit bezogene Lohn massgebend ist.</w:t>
      </w:r>
    </w:p>
    <w:p>
      <w:r>
        <w:rPr>
          <w:b/>
        </w:rPr>
        <w:t>E. 4.2</w:t>
      </w:r>
    </w:p>
    <w:p>
      <w:r>
        <w:t>Hat die erkrankte Person im Zeitpunkt des Ausbruchs der Berufskrankheit ihre versicherte Tätigkeit bereits aufgegeben, so ist zur Bestimmung des versicherten Verdienstes praxisgemäss vom Lohn auszugehen, den die Person letztmals bezogen hat, als sie noch versichert war ( BGE 136 V 419 E. 4.1 S. 422 ff; 135 V 279 E. 4.1 und 4.2.1 S. 281 ff.). Dieser Lohn ist bis zum Eintritt des ordentlichen AHV-Rentenalters an die allgemeine statistische Nominallohnentwicklung anzugleichen; die auf dieser Grundlage für den Zeitpunkt der ordentlichen Pensionierung hypothetisch berechnete fiktive Hinterlassenen-rente ist alsdann an die Teuerung anzupassen ( BGE 136 V 419 E. 5 S. 423).</w:t>
      </w:r>
    </w:p>
    <w:p>
      <w:r>
        <w:rPr>
          <w:b/>
        </w:rPr>
        <w:t>E. 4.3</w:t>
      </w:r>
    </w:p>
    <w:p>
      <w:r>
        <w:t>Gemäss Art. 3 Abs. 2 UVG endet die Unfallversicherung mit dem 30. Tag nach dem Tage, an dem der Anspruch auf mindestens den halben Lohn aufhört. Nichterwerbstätige Personen sind nicht nach UVG versichert.</w:t>
      </w:r>
    </w:p>
    <w:p>
      <w:r>
        <w:rPr>
          <w:b/>
        </w:rPr>
        <w:t>E. 4.4</w:t>
      </w:r>
    </w:p>
    <w:p>
      <w:r>
        <w:t>Aus den Akten geht hervor, dass der damals Versicherte per 31. Juli 2003 aus der Y.________ AG ausgetreten ist. Seine Unfallversicherung nach UVG endete somit am 30. August 2003. Da seine Berufskrankheit erst später ausbrach, ist zur Bestimmung des versicherten Verdienstes für die Bemessung der Hinterlassenenrente gemäss der in E. 4.2 dargelegten Rechtsprechung vom zuletzt bei der Y.________ AG erzielten Lohn auszugehen. Entgegen den Erwägungen von Vorinstanz und Verwaltung sind keine hinreichende Gründe gegeben, auf diese Praxis zurückzukommen. Insbesondere ist nicht ersichtlich, weshalb die Hinterlassenen von ehemals versicherten Personen, welche ihre versicherte Tätigkeit freiwillig aufgegeben haben, höhere Leistungen sollen beanspruchen können als Hinterlassene von Arbeitnehmern, die aus gesundheitlichen Gründen aus dem Arbeitsprozess ausgeschieden sind. Die Situation des ehemals Versicherten nach seinem Ausscheiden aus dem Arbeitsprozess lässt sich nicht vergleichen mit derjenigen einer versicherten Person, welche aus gesundheitlichen Gründen ihr Arbeitspensum reduziert: Letztere Person bleibt auch mit ihrem reduzierten Pensum nach UVG versichert, der vollständig Invalide indessen nicht. Da zudem zu Recht von keiner Seite behauptet wurde, dass der Ehemann der Beschwerdeführerin auch unabhängig von seinem Lungenkarzinom einzig aufgrund seiner Herz- und Rückenproblematik am 26. April 2011 verstorben wäre, stellt sich vorliegend auch die Frage der überholenden Kausalität nicht (vgl. Urteil 8C_474/2010 vom 29. Juli 2010 E. 4.3). Die Beschwerde erweist sich damit als begründet; der Einsprache- und der kantonale Gerichtsentscheid sind, soweit sie einen Anspruch auf eine Witwenrente verneinen, aufzuheben und die Sache ist an die SUVA zurückzuweisen, damit diese über den Anspruch der Ehefrau des Verstorbenen auf eine Witwenrente neu verfüge. Die SUVA wird dabei den dieser Rente zu Grunde liegenden versicherten Verdienst ausgehend von dem im Jahr vor dem Ausscheiden aus der Y.________ AG erzielten Lohn zu bestimmen haben.</w:t>
      </w:r>
    </w:p>
    <w:p>
      <w:r>
        <w:rPr>
          <w:b/>
        </w:rPr>
        <w:t>E. 5</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