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8C_687/2016 vom 22. November 2016</w:t>
      </w:r>
    </w:p>
    <w:p>
      <w:r>
        <w:t>Bundesgericht, 2016-11-22, DE</w:t>
      </w:r>
    </w:p>
    <w:p>
      <w:r>
        <w:rPr>
          <w:b/>
        </w:rPr>
        <w:t xml:space="preserve">Quelle: </w:t>
      </w:r>
      <w:r>
        <w:t>https://mcp.opencaselaw.ch/entscheid/bger_8C_687_2016</w:t>
      </w:r>
    </w:p>
    <w:p>
      <w:r>
        <w:t>FR: TF 8C_687/2016 du 22 novembre 2016</w:t>
      </w:r>
    </w:p>
    <w:p>
      <w:r>
        <w:t>IT: TF 8C_687/2016 del 22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8C_687/2016</w:t>
      </w:r>
    </w:p>
    <w:p>
      <w:r>
        <w:t>Urteil vom 22. November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Kantonsgerichts Luzern vom 7. September 2016.</w:t>
      </w:r>
    </w:p>
    <w:p>
      <w:r>
        <w:t>Nach Einsicht</w:t>
      </w:r>
    </w:p>
    <w:p>
      <w:r>
        <w:t>in die Beschwerde vom 16. Oktober 2016 (Poststempel) gegen den Entscheid des Kantonsgerichts Luzern vom 7. September 2016 über die Anordnung einer Begutachtung bei der MEDAS,</w:t>
      </w:r>
    </w:p>
    <w:p>
      <w:r>
        <w:t>in die Zwischenverfügung vom 2. November 2016, mit welcher das nach erhobenem Kostenvorschuss eingereichte Gesuch um unentgeltliche Rechtpflege abgewiesen und eine Nachfrist zur Leistung des Kostenvorschusses gesetzt wurde,</w:t>
      </w:r>
    </w:p>
    <w:p>
      <w:r>
        <w:t>in Erwägung,</w:t>
      </w:r>
    </w:p>
    <w:p>
      <w:r>
        <w:t>dass, nachdem der Kostenvorschuss innert gesetzter Nachfrist geleistet worden ist, das Verfahren dem Endentscheid zugeführt werden kann,</w:t>
      </w:r>
    </w:p>
    <w:p>
      <w:r>
        <w:t>dass sich die Beschwerde gegen einen Zwischenentscheid im Sinne von Art. 92 f. BGG richtet ( BGE 138 V 271 E. 2.1 S. 277),</w:t>
      </w:r>
    </w:p>
    <w:p>
      <w:r>
        <w:t>dass in diesem Rahmen ein Entscheid betreffend Fragen der Anordnung einer Administrativbegutachtung - auch mit Blick auf die Verfahrensgarantien nach BV und EMRK ( BGE 138 V 271 E. 3.1 S. 278 mit Hinweisen) - grundsätzlich nur an das Bundesgericht weitergezogen werden kann, sofern der angefochtene Entscheid den Ausstand einer sachverständigen Person im konkreten Fall betrifft (vgl. Art. 92 Abs. 1 BGG ; BGE 138 V 271 E. 4 S. 280),</w:t>
      </w:r>
    </w:p>
    <w:p>
      <w:r>
        <w:t>dass hinsichtlich anderer Aspekte das Bundesgericht die Bundesrechtskonformität der Gutachtensanordnung gegebenenfalls zusammen mit dem Endentscheid prüft ( Art. 93 Abs. 3 BGG ; statt vieler: Urteile 8C_368/2016 vom 7. Juni 2016 oder 9C_294/2016 vom 27. Mai 2016, je mit Hinweisen),</w:t>
      </w:r>
    </w:p>
    <w:p>
      <w:r>
        <w:t>dass der Beschwerdeführer den beiden vorgesehenen Sachverständigen keine spezifischen Ausstandsgründe vorhält,</w:t>
      </w:r>
    </w:p>
    <w:p>
      <w:r>
        <w:t>dass er vielmehr die Voreingenommenheit der Gutachterstelle als solcher und deren fehlende Unabhängigkeit geltend macht, was allerdings nach Gesagtem im vorliegenden Verfahrensstadium vor Bundesgericht nicht zu hören ist,</w:t>
      </w:r>
    </w:p>
    <w:p>
      <w:r>
        <w:t>dass sich damit die Beschwerde insgesamt als offensichtlich unzulässig erweist,</w:t>
      </w:r>
    </w:p>
    <w:p>
      <w:r>
        <w:t>dass deshalb im vereinfachten Verfahren nach Art. 108 Abs. 1 lit. a BGG darauf nicht einzutreten ist,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 werden dem Beschwerdeführer auferlegt.</w:t>
      </w:r>
    </w:p>
    <w:p>
      <w:r>
        <w:t>3.</w:t>
      </w:r>
    </w:p>
    <w:p>
      <w:r>
        <w:t>Dieses Urteil wird den Parteien, dem Kantonsgericht Luzern, 3. Abteilung, und dem Bundesamt für Gesundheit schriftlich mitgeteilt.</w:t>
      </w:r>
    </w:p>
    <w:p>
      <w:r>
        <w:t>Luzern, 22. November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