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8C_687/2015 vom 10. November 2015</w:t>
      </w:r>
    </w:p>
    <w:p>
      <w:r>
        <w:t>Bundesgericht, 2015-11-10, DE</w:t>
      </w:r>
    </w:p>
    <w:p>
      <w:r>
        <w:rPr>
          <w:b/>
        </w:rPr>
        <w:t xml:space="preserve">Quelle: </w:t>
      </w:r>
      <w:r>
        <w:t>https://mcp.opencaselaw.ch/entscheid/bger_8C_687_2015</w:t>
      </w:r>
    </w:p>
    <w:p>
      <w:r>
        <w:t>FR: TF 8C_687/2015 du 10 novembre 2015</w:t>
      </w:r>
    </w:p>
    <w:p>
      <w:r>
        <w:t>IT: TF 8C_687/2015 del 10 novembre 2015</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Im angefochtenen Entscheid werden die gesetzlichen Bestimmungen und die von der Rechtsprechung entwickelten Grundsätze, namentlich diejenigen zum Begriff der Invalidität ( Art. 8 Abs. 1 ATSG in Verbindung mit Art. 4 Abs. 1 IVG ), zum Anspruch und Umfang einer Invalidenrente ( Art. 28 Abs. 1 und 2 IVG ) und zum Beweiswert und zur Beweiswürdigung ärztlicher Berichte und Gutachten ( BGE 134 V 231 E. 5.1 S. 232; 125 V 351 E. 3a S. 352) richtig dargelegt. Darauf wird verwiesen.</w:t>
      </w:r>
    </w:p>
    <w:p>
      <w:r>
        <w:rPr>
          <w:b/>
        </w:rPr>
        <w:t>E. 3</w:t>
      </w:r>
    </w:p>
    <w:p>
      <w:r>
        <w:t>Streitig und zu prüfen ist der Anspruch der Versicherten auf Leistungen der Invalidenversicherung und in diesem Zusammenhang, ob das kantonale Gericht zu Recht davon ausgegangen ist, der rechtserhebliche Sachverhalt sei genügend abgeklärt.</w:t>
      </w:r>
    </w:p>
    <w:p>
      <w:r>
        <w:rPr>
          <w:b/>
        </w:rPr>
        <w:t>E. 3.1</w:t>
      </w:r>
    </w:p>
    <w:p>
      <w:r>
        <w:t>Nach eingehender Auseinandersetzung mit den fachärztlichen Unterlagen ist das kantonale Gericht insbesondere gestützt auf den als nachvollziehbar und schlüssig beurteilten RAD-Untersuchungsbericht der med. pract. B.________, FMH Orthopädische Chirurgie und Traumatologie des Bewegungsapparates, vom 29. April 2013 zum Schluss gelangt, der Beschwerdeführerin sei spätestens seit Januar 2013 die Ausübung von körperlich leichten, wechselbelastenden Tätigkeiten - ohne Arbeiten auf Leitern und Gerüsten und ohne häufiges Treppensteigen sowie häufiger wirbelsäulen-, hüft- oder kniebelastenden Zwangshaltungen - in einem Arbeitspensum von 70 % zuzumuten. Ergänzende Beweismassnahmen könnten an diesem Ergebnis nichts mehr ändern, weshalb in antizipierter Beweiswürdigung von der Durchführung einer ärztlichen Begutachtung abgesehen werde.</w:t>
      </w:r>
    </w:p>
    <w:p>
      <w:r>
        <w:rPr>
          <w:b/>
        </w:rPr>
        <w:t>E. 3.2</w:t>
      </w:r>
    </w:p>
    <w:p>
      <w:r>
        <w:t>Die Beschwerdeführerin wendet dagegen ein, gemäss ärztlicher Stellungnahme des Dr. med. C.________, Facharzt für Chirurgie, vom 21. Oktober 2013 sei das Zumutbarkeitsprofil der Ärztin des RAD nicht schlüssig. Die Ausführungen des Dr. med. C.________, wonach überwiegend sitzende Tätigkeiten mit lumbovertebralen Beschwerden nicht vereinbar seien und die Versicherte wegen ihren Fingerpolyarthrosen nicht einmal leichteste Greifarbeiten ganztägig durchführen könne, hätten beim kantonalen Gericht zumindest berechtigte Zweifel erwecken und damit zu weiteren Sachverhaltsabklärungen führen müssen. Zudem datiere der Untersuchungsbericht des RAD rund ein Jahr vor Verfügungserlass und sei somit nicht mehr aktuell gewesen.</w:t>
      </w:r>
    </w:p>
    <w:p>
      <w:r>
        <w:rPr>
          <w:b/>
        </w:rPr>
        <w:t>E. 4.1</w:t>
      </w:r>
    </w:p>
    <w:p>
      <w:r>
        <w:t>Wie die Vorinstanz zu Recht erwogen hat und die Beschwerdeführerin nicht in Abrede stellt, erfüllt der Untersuchungsbericht des RAD vom 29. April 2013 die rechtsprechungsgemäss erforderlichen Voraussetzungen (vgl. E. 2 hievor), um als beweistaugliche Beurteilungsgrundlage zu gelten. Dass das kantonale Gericht gestützt auf diesen regionalärztlichen Bericht von einer 70 %igen Arbeitsfähigkeit in einer mittels Ausschlusskriterien definierten leidensangepassten Tätigkeit ausgegangen ist, ist das Ergebnis ihrer Beweiswürdigung, die einer bundesgerichtliche Überprüfung nur eingeschränkt zugänglich ist (vgl. E. 1 hievor). Mängel, welche auf eine offensichtlich unrichtige Sachverhaltsfeststellung schliessen liessen, sind dabei nicht auszumachen. Solche werden denn auch nicht geltend gemacht.</w:t>
      </w:r>
    </w:p>
    <w:p>
      <w:r>
        <w:t>Nicht zu beanstanden ist zudem die vorinstanzliche Feststellung, die abweichende Einschätzung des Dr. med. C.________ vom 21. Oktober 2013 vermöge die Zuverlässigkeit und Schlüssigkeit der Beurteilung durch med. pract. B.________ nicht in Zweifel zu ziehen. Das kantonale Gericht stützt sich dabei auf die Feststellung, die RAD-Ärztin habe als Ergebnis einer eigenen klinischen Untersuchung die Funktion sowohl der linken als auch der rechten Hand der Versicherten als vollständig erhalten und Griffvariationen beider Hände als möglich erachtet, wogegen die abweichende Einschätzung des Dr. med. C.________ lediglich auf einer Aktenbeurteilung basiere. Daran ist nichts auszusetzen.</w:t>
      </w:r>
    </w:p>
    <w:p>
      <w:r>
        <w:rPr>
          <w:b/>
        </w:rPr>
        <w:t>E. 4.2</w:t>
      </w:r>
    </w:p>
    <w:p>
      <w:r>
        <w:t>Die Vorbringen der Beschwerdeführerin sind nicht geeignet, die Rechtmässigkeit der vorinstanzlichen Beurteilung im Rahmen der dem Bundesgericht zukommenden Überprüfungsbefugnis ernsthaft in Frage zu stellen. Insbesondere ist auf die Wiederholung der bereits vorinstanzlich angeführten Argumente, welche das kantonale Gericht in seinen Erwägungen berücksichtigte und verwarf, nicht weiter einzugehen. Auch der Hinweis, zwischen RAD-Untersuchung und Verfügungserlass sei ein Jahr verstrichen, weshalb die medizinischen Unterlagen nicht mehr aktuell gewesen seien, vermag die vorinstanzlichen Feststellungen nicht in Frage zu stellen, nachdem selbst die Versicherte nicht geltend macht, in jener Zeit habe sich ihr Gesundheitszustand wesentlich verändert. Von weiteren Abklärungen waren keine neuen Erkenntnisse zu erwarten, weshalb darauf im Rahmen der antizipierten Beweiswürdigung ( BGE 136 I 229 E. 5.3 S. 236) verzichtet werden durfte.</w:t>
      </w:r>
    </w:p>
    <w:p>
      <w:r>
        <w:rPr>
          <w:b/>
        </w:rPr>
        <w:t>E. 5.1</w:t>
      </w:r>
    </w:p>
    <w:p>
      <w:r>
        <w:t>Die Beschwerdeführerin erneuert ihr vorinstanzlich abgelehntes Rechtsbegehren, die IV-Stelle sei zu verpflichten, die Kosten für die bei Dr. med. C.________ eingeholte ärztliche Stellungnahme zu ersetzen.</w:t>
      </w:r>
    </w:p>
    <w:p>
      <w:r>
        <w:rPr>
          <w:b/>
        </w:rPr>
        <w:t>E. 5.2</w:t>
      </w:r>
    </w:p>
    <w:p>
      <w:r>
        <w:t>Die Kosten privat eingeholter Gutachten sind dann zu vergüten, wenn die Parteiexpertise für die Entscheidfindung unerlässlich war ( BGE 115 V 62 E. 5c S. 63). Dies gilt unter Umständen auch dann, wenn die versicherte Person in der Sache unterliegt (Urteil 8C_1005/2012 vom 4. Februar 2013 E. 5 mit Hinweisen). Die von der Beschwerdeführerin im Verwaltungsverfahren eingereichte Stellungnahme des Dr. med. C.________ vom 21. Oktober 2013 war weder notwendig noch für die Entscheidfindung unerlässlich, weshalb die Voraussetzungen einer Kostenübernahme durch die Invalidenversicherung nicht erfüllt sind. Der vorinstanzliche Entscheid ist daher auch in diesem Punkt nicht zu beanstanden.</w:t>
      </w:r>
    </w:p>
    <w:p>
      <w:r>
        <w:rPr>
          <w:b/>
        </w:rPr>
        <w:t>E. 6</w:t>
      </w:r>
    </w:p>
    <w:p>
      <w:r>
        <w:t>Die Beschwerde ist offensichtlich unbegründet, weshalb sie im vereinfachten Verfahren nach Art. 109 BGG ohne Durchführung des Schriftenwechsels und mit summarischer Begründung erledigt wird.</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