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8C_687/2011 vom 28. Juni 2012</w:t>
      </w:r>
    </w:p>
    <w:p>
      <w:r>
        <w:t>Bundesgericht, 2012-06-28, FR</w:t>
      </w:r>
    </w:p>
    <w:p>
      <w:r>
        <w:rPr>
          <w:b/>
        </w:rPr>
        <w:t xml:space="preserve">Quelle: </w:t>
      </w:r>
      <w:r>
        <w:t>https://mcp.opencaselaw.ch/entscheid/bger_8C_687_2011</w:t>
      </w:r>
    </w:p>
    <w:p>
      <w:r>
        <w:t>FR: TF 8C_687/2011 du 28 juin 2012</w:t>
      </w:r>
    </w:p>
    <w:p>
      <w:r>
        <w:t>IT: TF 8C_687/2011 del 28 giugno 2012</w:t>
      </w:r>
    </w:p>
    <w:p>
      <w:pPr>
        <w:pStyle w:val="Heading2"/>
      </w:pPr>
      <w:r>
        <w:t>Erwägungen</w:t>
      </w:r>
    </w:p>
    <w:p>
      <w:r>
        <w:rPr>
          <w:b/>
        </w:rPr>
        <w:t>E. 1</w:t>
      </w:r>
    </w:p>
    <w:p>
      <w:r>
        <w:t>Le litige porte exclusivement sur le taux de l'atteinte à l'intégrité. Le degré d'invalidité présenté par le recourant n'est en revanche plus litigieux. Dès lors que le jugement entrepris porte sur le droit à des prestations en espèces de l'assurance-accidents, le Tribunal fédéral n'est pas lié par les faits établis par la juridiction cantonale (art. 97 al. 2 et 105 al. 3 LTF).</w:t>
      </w:r>
    </w:p>
    <w:p>
      <w:r>
        <w:rPr>
          <w:b/>
        </w:rPr>
        <w:t>E. 2</w:t>
      </w:r>
    </w:p>
    <w:p>
      <w:r>
        <w:t>Le jugement entrepris expose le contenu des art. 24 et 25 LAA , ainsi que les règles pertinentes de l'annexe 3 à l'OLAA, relatifs à l'indemnisation des atteintes à l'intégrité par l'assurance-accidents. Il précise également la portée des tables concernant les atteintes à l'intégrité, établies par la CNA. Sur ces points, il convient d'y renvoyer, de même qu'à la jurisprudence citée.</w:t>
      </w:r>
    </w:p>
    <w:p>
      <w:r>
        <w:rPr>
          <w:b/>
        </w:rPr>
        <w:t>E. 3.1</w:t>
      </w:r>
    </w:p>
    <w:p>
      <w:r>
        <w:t>Pour fixer le taux de l'indemnité pour atteinte à l'intégrité, les premiers juges se sont fondés sur le rapport du médecin d'arrondissement du 5 mai 2010. Ce dernier a retenu une atteinte sensitive à la branche du nerf radial distal gauche, une gêne fonctionnelle se traduisant par une perte de la force (force de serrage, port de charges) et une limitation dans les mouvements (flexion, extension, supination, mouvements répétitifs) et estimé à 5 % le taux de l'atteinte à l'intégrité en fonction des tables 1 et 5 de la CNA (taux d'atteinte à l'intégrité résultant respectivement de troubles fonctionnels des membres supérieurs et d'arthroses).</w:t>
      </w:r>
    </w:p>
    <w:p>
      <w:r>
        <w:rPr>
          <w:b/>
        </w:rPr>
        <w:t>E. 3.2</w:t>
      </w:r>
    </w:p>
    <w:p>
      <w:r>
        <w:t>Le recourant conteste le montant de l'indemnité pour atteinte à l'intégrité fixé par l'intimée et les premiers juges. Il soutient qu'il présente un taux d'atteinte de 20 %, au motif que la mobilité de son poignet gauche est restreinte en flexion/extension et supination. Or, selon la table 1 de la CNA (taux d'atteinte à l'intégrité résultant de troubles fonctionnels des membres supérieurs), le taux résultant d'une atteinte au poignet est compris entre 10 % et 30 %.</w:t>
      </w:r>
    </w:p>
    <w:p>
      <w:r>
        <w:rPr>
          <w:b/>
        </w:rPr>
        <w:t>E. 3.3</w:t>
      </w:r>
    </w:p>
    <w:p>
      <w:r>
        <w:t>La table 1.2 prévoit, en ce qui concerne le poignet, un taux d'atteinte à l'intégrité de 25 % pour un poignet bloqué en extension, avec perte de la pronation et de la supination, de 30 % pour un poignet bloqué en flexion ou en extension à 45°, de 15 % pour une arthrodèse radio-carpienne et de 10 % pour une arthrodèse intracarpienne. Quant à la table 5.2, elle prévoit un taux d'atteinte à l'intégrité compris entre 5 et 10 % pour une arthrose moyenne radiocarpienne ou intracarpienne.</w:t>
      </w:r>
    </w:p>
    <w:p>
      <w:r>
        <w:rPr>
          <w:b/>
        </w:rPr>
        <w:t>E. 3.4</w:t>
      </w:r>
    </w:p>
    <w:p>
      <w:r>
        <w:t>Le taux d'indemnité compris entre 10 % et 30 % résultant de la table 1.2, que le recourant voudrait se voir allouer, correspondrait à un poignet totalement bloqué ou ayant subi une arthrodèse (blocage définitif de l'articulation). En l'espèce, il ressort cependant des constatations médicales - lesquelles ne sont pas contestées par le recourant - que le poignet de celui-ci n'est nullement bloqué mais que sa mobilité est restreinte en flexion/extension et supination. Son taux d'atteinte à l'intégrité est par conséquent inférieur au taux minimal de 10 % prévu pour un blocage définitif de l'articulation du poignet. L'atteinte du recourant ne figurant par ailleurs pas dans la liste émanant des tables de la CNA, le médecin d'arrondissement a assimilé son atteinte à une arthrose moyenne radiocarpienne, retenant le taux de 5 % pour tenir compte de la gravité de l'atteinte actuellement; il a précisé qu'en cas de troubles dégénératifs futurs, une réévaluation pourrait s'avérer nécessaire. Compte tenu de ces constatations, la décision de l'intimée d'appliquer par analogie un taux d'atteinte à l'intégrité de 5 % en cas d'arthrose moyenne radiocarpienne ne prête pas le flanc à la critique. Le recours est par conséquent mal fondé.</w:t>
      </w:r>
    </w:p>
    <w:p>
      <w:r>
        <w:rPr>
          <w:b/>
        </w:rPr>
        <w:t>E. 4</w:t>
      </w:r>
    </w:p>
    <w:p>
      <w:r>
        <w:t>Vu ce qui précède, le recourant supportera les frais de justice ( art. 66 al. 1 LTF ) et ne peut prétendre une indemnité de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