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686/2014 vom 25. August 2015</w:t>
      </w:r>
    </w:p>
    <w:p>
      <w:r>
        <w:t>Bundesgericht, 2015-08-25, FR</w:t>
      </w:r>
    </w:p>
    <w:p>
      <w:r>
        <w:rPr>
          <w:b/>
        </w:rPr>
        <w:t xml:space="preserve">Quelle: </w:t>
      </w:r>
      <w:r>
        <w:t>https://mcp.opencaselaw.ch/entscheid/bger_8C_686_2014</w:t>
      </w:r>
    </w:p>
    <w:p>
      <w:r>
        <w:t>FR: TF 8C 686/2014 du 25 août 2015</w:t>
      </w:r>
    </w:p>
    <w:p>
      <w:r>
        <w:t>IT: TF 8C 686/2014 del 25 agosto 2015</w:t>
      </w:r>
    </w:p>
    <w:p>
      <w:pPr>
        <w:pStyle w:val="Heading2"/>
      </w:pPr>
      <w:r>
        <w:t>Regeste</w:t>
      </w:r>
    </w:p>
    <w:p>
      <w:r>
        <w:t>Droit de la fonction publique | Fonction publique</w:t>
      </w:r>
    </w:p>
    <w:p>
      <w:pPr>
        <w:pStyle w:val="Heading2"/>
      </w:pPr>
      <w:r>
        <w:t>Erwägungen</w:t>
      </w:r>
    </w:p>
    <w:p>
      <w:r>
        <w:rPr>
          <w:b/>
        </w:rPr>
        <w:t>E. 1</w:t>
      </w:r>
    </w:p>
    <w:p>
      <w:r>
        <w:t>Le Tribunal fédéral examine d'office et librement la recevabilité des recours qui lui sont soumis ( ATF 141 II 113 consid. 1 p. 116). En l'espèce, les prétentions pécuniaires émises par la recourante trouvent leur fondement dans un rapport de travail de droit public au sens de l' art. 83 let . g LTF. Le motif d'exclusion prévu par cette disposition légale n'entre pas en considération. La valeur litigieuse dépasse, par ailleurs, le seuil requis de 15'000 fr. ( art. 85 al. 1 let. b LTF ). Pour le surplus, interjeté en temps utile et dans les formes requises contre une décision prise par une autorité cantonale de dernière instance, le recours respecte les exigences des art. 42, 86 al. 1 let . d et art. 100 al. 1 LTF . Le point de savoir si l'arrêt attaqué, en tant qu'il déclare irrecevables, pour une question procédurale, les prétentions pécuniaires formulées par la recourante, doit être qualifié de décision partielle au sens de l' art. 91 let. a LTF (sur le caractère final des décisions d'irrecevabilité, voir ATF 135 II 38 consid. 1.1 p. 41; 135 V 153 consid. 1.3 p. 156; BERNARD CORBOZ, in Commentaire de la LTF, 2 e éd. 2014, n° 9 ad art. 90 LTF ; FELIX UHLMANN, in Basler Kommentar, Bundesgerichtsgesetz, 2 e éd. 2011, n° 9 ad art. 90 LTF ), ou de décision incidente au sens de l' art 93 al. 1 LTF (cf. arrêt 8C_724/2014 du 29 mai 2015 consid. 4.3), peut rester indécis, étant donné le sort à réserver au recours sur le fond.</w:t>
      </w:r>
    </w:p>
    <w:p>
      <w:r>
        <w:rPr>
          <w:b/>
        </w:rPr>
        <w:t>E. 2.1</w:t>
      </w:r>
    </w:p>
    <w:p>
      <w:r>
        <w:t>Le refus d'entrer en matière de la juridiction cantonale se fonde sur les art. 146 et 147 de la loi [de la République et canton du Jura] du 30 novembre 1978 de procédure et de juridiction administrative et constitutionnelle (code de procédure administrative [Cpa]; RS/JU 175.1). Ces dispositions sont ainsi libellées: Art. 146 L'action de droit administratif est ouverte en cas de contestations relatives à des prétentions de droit public qui ne peuvent faire l'objet d'une décision. Les prescriptions légales spéciales sont réservées. Art. 147 L'action est ouverte dans les contestations relatives : a) aux prétentions découlant des rapports de service des magistrats, des employés de l'Etat et des autres agents publics; b) aux prétentions découlant des contrats de droit public ou de concessions; c) à des indemnités non contractuelles; d) au paiement de prestations pécuniaires octroyées, à la restitution de prestations pécuniaires payées et à la dévolution d'autres avantages pécuniaires de droit public acquis sans droit; e) à d'autres affaires, dans les cas prévus par la loi. Sur la base de ces dispositions, la juridiction cantonale a considéré que les prétentions émises par la recourante correspondaient à l'un des cas d'action prévus explicitement par l'art. 147 Cpa. Ces prétentions ne pouvaient pas faire l'objet d'une décision au sens de l'art. 2 Cpa. Comme la Cour administrative ne pouvait pas être saisie, dans un même acte de procédure, d'un litige relevant de la procédure de recours et d'une contestation régie par la voie de l'action de droit administratif, les conclusions condamnatoires en paiement prises par la recourante devaient être déclarées irrecevables.</w:t>
      </w:r>
    </w:p>
    <w:p>
      <w:r>
        <w:rPr>
          <w:b/>
        </w:rPr>
        <w:t>E. 2.2</w:t>
      </w:r>
    </w:p>
    <w:p>
      <w:r>
        <w:t>Invoquant l' art. 29 al. 1 Cst. , la recourante soutient qu'il y aurait formalisme excessif et violation du principe de l'économie de la procédure à déclarer ses conclusions irrecevables au lieu de considérer que, par la prise de ces conclusions à l'appui de son recours, une action de droit administratif avait été valablement introduite devant la Cour administrative, également compétente pour connaître d'une telle action (cf. art. 167 Cpa). Elle se prévaut de la jurisprudence relative à la conversion d'un acte de procédure mal intitulé. Enfin la recourante se plaint d'une application arbitraire du droit cantonal.</w:t>
      </w:r>
    </w:p>
    <w:p>
      <w:r>
        <w:rPr>
          <w:b/>
        </w:rPr>
        <w:t>E. 2.3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s.).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 ATF 134 II 244 consid. 2.4.2 p. 248; 114 Ia 34 consid. 3 p. 40 et les références; arrêts 1C_323/2014 du 10 octobre 2014 consid. 11; 4P.228/2003 du 19 janvier 2004 consid. 3.3.1). En outre, l'avocat est présumé capable, en raison de sa formation particulière, de représenter utilement la partie; il se justifie dès lors de se montrer plus rigoureux en présence de ses procédés qu'en présence d'un plaideur ignorant du droit. Le Tribunal fédéral examine librement si l'on se trouve en présence d'un formalisme excessif ( ATF 135 I 6 précité consid. 2.1 p. 9; 128 II 139 consid. 2a p. 142; 127 I 31 consid. 2a/bb p. 34). Il n'examine cependant que sous l'angle restreint de l'arbitraire l'interprétation et l'application du droit cantonal déterminant ( ATF 141 I 36 consid. 1.3 p. 41).</w:t>
      </w:r>
    </w:p>
    <w:p>
      <w:r>
        <w:rPr>
          <w:b/>
        </w:rPr>
        <w:t>E. 2.4</w:t>
      </w:r>
    </w:p>
    <w:p>
      <w:r>
        <w:t>Dans le domaine de la juridiction administrative contentieuse, le Cpa distingue clairement la voie du recours (art. 117 ss), dirigé contre une décision, et celle de l'action de droit administratif (art. 146 ss), laquelle est ouverte en cas de contestations relatives à des prétentions de droit public qui ne peuvent faire l'objet d'une décision (art. 146 Cpa). L'art. 168 Cpa consacre la subsidiarité de l'action en ce sens que celle-ci n'est pas recevable lorsqu'est ouverte la voie de l'opposition et celle du recours administratif.</w:t>
      </w:r>
    </w:p>
    <w:p>
      <w:r>
        <w:rPr>
          <w:b/>
        </w:rPr>
        <w:t>E. 2.5</w:t>
      </w:r>
    </w:p>
    <w:p>
      <w:r>
        <w:t>En l'espèce, il convient de rappeler que le litige a pour origine une décision de résiliation des rapports de service, qui a été déférée au tribunal cantonal par la voie du recours de droit administratif, conformément à la réglementation susmentionnée. La décision du gouvernement cantonal ne portait pas sur d'éventuelles prétentions pécuniaires, qui n'avaient d'ailleurs pas été formulées à ce stade. Le recours formé par l'employée n'était donc pas un acte de procédure mal intitulé, qui nécessitait une conversion en une requête introductive d'une action (voir par exemple ATF 134 III 379 consid. 1.2 p. 382). Ce que la recourante, en réalité, remet en cause, c'est la réglementation cantonale selon laquelle les prétentions pécuniaires ne peuvent pas être traitées à l'occasion d'un recours, mais doivent faire l'objet d'une demande séparée sous la forme d'une action. Cette division des voies de droit n'a toutefois rien d'insolite. S'il est vrai que le contentieux administratif ordinaire est celui du recours, il n'en reste pas moins que la voie de l'action existe encore dans un certain nombre de droits cantonaux, principalement pour les contestations qui découlent de la responsabilité délictuelle, des contrats de droit administratif ou encore du statut de la fonction publique (voir MOOR/POLTIER, Droit administratif, vol. II, 3 e éd. 2011, p. 627). A la différence de la procédure introduite par un recours de droit administratif, la procédure d'action de droit administratif suit en général des étapes analogues à celles d'une procédure civile. C'est ainsi qu'en procédure jurassienne, les règles de la procédure civile sont déclarées applicables subsidiairement et par analogie à l'art. 157 al. 2 Cpa (voir, sur les particularités de la procédure d'action selon le Cpa, BROGLIN/WINKLER DOCOURT, Procédure administrative, 2015, p. 191 ss; cf. aussi pour la procédure jurassienne BENOÎT BOVAY, Procédure administrative, 2000, p. 447 ss; pour la procédure neuchâteloise, ROBERT SCHAER, Juridiction administrative neuchâteloise, 1995, p. 210 ss). Suivre la recourante reviendrait à créer la confusion entre les voies de droit et les règles de procédure qui leur sont spécifiques. On ne voit pas non plus qu'une application stricte des règles de procédure puisse en l'espèce entraver l'application du droit matériel, car on peut exiger d'un plaideur qu'il fasse valoir ses prétentions pécuniaires par la voie prévue à cet effet, même si ces prétentions ont un lien avec une procédure de recours.</w:t>
      </w:r>
    </w:p>
    <w:p>
      <w:r>
        <w:rPr>
          <w:b/>
        </w:rPr>
        <w:t>E. 2.6</w:t>
      </w:r>
    </w:p>
    <w:p>
      <w:r>
        <w:t>L'autorité cantonale n'a donc pas fait preuve d'un formalisme excessif en appliquant strictement la réglementation cantonale sur le contentieux administratif. On ne voit pas en quoi, par ailleurs, elle aurait appliqué de manière arbitraire le droit cantonal, contrairement à ce que soutient la recourante. Celle-ci ne le démontre en tout cas pas.</w:t>
      </w:r>
    </w:p>
    <w:p>
      <w:r>
        <w:rPr>
          <w:b/>
        </w:rPr>
        <w:t>E. 3.1</w:t>
      </w:r>
    </w:p>
    <w:p>
      <w:r>
        <w:t>La recourante fait valoir que la décision attaquée, en tant qu'elle déclare ses conclusions pécuniaires irrecevables, risque de la priver de son droit d'action en raison de la prescription. Elle fait valoir, à cet égard, que l'autorité cantonale a attendu plus de deux ans avant de statuer sur les conséquences de l'arrêt de renvoi du Tribunal fédéral pour finalement déclarer une partie de ses conclusions irrecevables, ce qui serait contraire au principe de la bonne foi ( art. 5 al. 3 Cst. ).</w:t>
      </w:r>
    </w:p>
    <w:p>
      <w:r>
        <w:rPr>
          <w:b/>
        </w:rPr>
        <w:t>E. 3.2</w:t>
      </w:r>
    </w:p>
    <w:p>
      <w:r>
        <w:t>La recourante oublie toutefois que dans son arrêt du 2 mai 2011, le tribunal cantonal avait déjà déclaré irrecevables ses conclusions pécuniaires, pour les mêmes motifs que ceux retenus par la juridiction cantonale dans l'arrêt attaqué. Elle ne pouvait donc pas ignorer que ses prétentions ne seraient pas jugées à l'occasion d'une procédure de recours. Il lui était loisible, à ce moment déjà, d'ouvrir une action ou, si nécessaire, d'interrompre d'une autre manière la prescription.</w:t>
      </w:r>
    </w:p>
    <w:p>
      <w:r>
        <w:rPr>
          <w:b/>
        </w:rPr>
        <w:t>E. 4</w:t>
      </w:r>
    </w:p>
    <w:p>
      <w:r>
        <w:t>Le recours est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