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8C_685/2024 vom 5. September 2025</w:t>
      </w:r>
    </w:p>
    <w:p>
      <w:r>
        <w:rPr>
          <w:i/>
        </w:rPr>
        <w:t>Bundesgericht</w:t>
      </w:r>
      <w:r>
        <w:rPr>
          <w:i/>
        </w:rPr>
        <w:t xml:space="preserve">  ·  2025-09-05</w:t>
      </w:r>
      <w:r>
        <w:rPr>
          <w:i/>
        </w:rPr>
        <w:t xml:space="preserve">  ·  DE</w:t>
      </w:r>
    </w:p>
    <w:p>
      <w:r>
        <w:rPr>
          <w:b/>
        </w:rPr>
        <w:t xml:space="preserve">Source: </w:t>
      </w:r>
      <w:r>
        <w:t>https://mcp.opencaselaw.ch/entscheid/bger_8C_685_2024</w:t>
      </w:r>
    </w:p>
    <w:p>
      <w:r>
        <w:t>FR: TF 8C_685/2024 du 5 septembre 2025 · IT: TF 8C_685/2024 del 5 settembre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den von der Beschwerdegegnerin am 2. März 2022 verfügten und mit Einspracheentscheid vom 12. April 2023 geschützten folgenlosen Fallabschluss drei Monate nach dem Unfall bestätigte und daher eine Leistungspflicht hinsichtlich der ab 21. Januar 2022 fortgesetzt geklagten Beschwerden mangels Unfallkausalität verneinte.</w:t>
      </w:r>
    </w:p>
    <w:p>
      <w:r>
        <w:rPr>
          <w:b/>
        </w:rPr>
        <w:t>E. 2.2</w:t>
      </w:r>
    </w:p>
    <w:p>
      <w:r>
        <w:t>Gemäss angefochtenem Urteil steht fest und ist unbestritten, dass der Beschwerdeführer am 21. Oktober 2021 einen Unfall erlitt und anschliessend über zunehmende und ab 11. November 2021 ärztlich behandlungsbedürftige Schmerzen im linken Kniegelenk klagte, während er bis zum Unfall beschwerdefrei war. Laut Aktenbeurteilung des Dr. med. E.________ vom 28. Dezember 2021 erkannte dieser in den MRT-Untersuchungsergebnissen vom 11. November 2021 einen unfallfremden Vorzustand, bejahte jedoch die überwiegende Wahrscheinlichkeit einer unfallkausalen Gesundheitsstörung mit voller Arbeitsunfähigkeit ab 11. November 2021 und prognostizierte das Erreichen des "Status quo ante per 21. Januar 2021" (recte: 2022). Dementsprechend stellte die Beschwerdegegnerin dem Beschwerdeführer den folgenlosen Fallabschluss mit Schreiben vom 13. Januar 2022 auf den Zeitpunkt drei Monate nach dem Ereignis in Aussicht. Nachdem der Beschwerdeführer mit Unterstützung der ihn behandelnden Fachärzte hiergegen wiederholt Einwände erheben liess, veranlasste die Beschwerdegegnerin jeweils bei Dr. med. E.________ vier weitere Aktenbeurteilungen vom 20. und 24. Februar 2022 sowie vom 30. März und 9. Juli 2023, wobei Letzterer konstant an seiner ursprünglichen Einschätzung festhielt.</w:t>
      </w:r>
    </w:p>
    <w:p>
      <w:r>
        <w:rPr>
          <w:b/>
        </w:rPr>
        <w:t>E. 2.3</w:t>
      </w:r>
    </w:p>
    <w:p>
      <w:r>
        <w:t>Basierend auf dieser Beweislage schloss das kantonale Gericht auch nur geringe Zweifel an der Einschätzung des Dr. med. E.________ aus und stellte gestützt darauf fest, nach einer vorübergehenden Verschlechterung des degenerativen Vorzustandes sei der Status quo sine/ante spätestens am 21. Januar 2022 erreicht worden. In antizipierter Beweiswürdigung bestehe kein Anlass für weitere medizinische Abklärungen. Demgegenüber macht der Beschwerdeführer geltend, allein aus der Tatsache, dass die Beschwerdegegnerin ihren Vertrauensarzt Dr. med. E.________ insgesamt sechsmal um eine Stellungnahme gebeten habe, folge die Notwendigkeit einer versicherungsexternen Begutachtung. Die Vorinstanz habe den Aktenbeurteilungen mit Blick auf die abweichenden Kausalitätseinschätzungen der behandelnden Fachärzte, die den Beschwerdeführer im Gegensatz zu Dr. med. E.________ untersucht hätten, bundesrechtswidrig Schlüssigkeit zuerkannt.</w:t>
      </w:r>
    </w:p>
    <w:p>
      <w:r>
        <w:rPr>
          <w:b/>
        </w:rPr>
        <w:t>E. 3</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Korrekt sind auch die Erwägungen zum Beweiswert medizinischer Berichte und Gutachten ( BGE 134 V 231 E. 5.1; 125 V 351 E. 3a) sowie zum massgeblichen Beweisgrad der überwiegenden Wahrscheinlichkeit ( BGE 138 V 218 E. 6). Darauf wird verwiesen.</w:t>
      </w:r>
    </w:p>
    <w:p>
      <w:r>
        <w:rPr>
          <w:b/>
        </w:rPr>
        <w:t>E. 4.1</w:t>
      </w:r>
    </w:p>
    <w:p>
      <w:r>
        <w:t>Für die Bejahung der natürlichen Unfallkausalität eines Beschwerdebilds genügt eine Teilursächlichkeit ( BGE 134 V 109 E. 9.5), wobei sich die Leistungspflicht des obligatorischen Unfallversicherers auch auf mittelbare bzw. indirekte Unfallfolgen erstreckt (nicht publ. E. 3a des Urteils BGE 127 V 491 ; SVR 2016 UV Nr. 21 S. 66, 8C_134/2015 E. 5.2.2 mit Hinweis; Urteil 8C_715/2016 vom 6. März 2017 E. 4.1). Nach der Rechtsprechung gehören zu den im Sinn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8C_297/2024 vom 18. Dezember 2024 E. 4.2; 8C_549/2021 vom 7. Januar 2022 E. 4.2; 8C_287/2020 vom 27. April 2021 E. 3.1, je mit Hinweisen;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4.2</w:t>
      </w:r>
    </w:p>
    <w:p>
      <w:r>
        <w:t>Die Anerkennung der Leistungspflicht durch den Unfallversicherer ist in rechtlicher Hinsicht von Belang (vgl. statt vieler Urteil 8C_715/2016 vom 6. März 2017 E. 4.2 mit Hinweisen).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150 V 188 E. 4.2; 146 V 51 E. 5.1 mit Hinweis).</w:t>
      </w:r>
    </w:p>
    <w:p>
      <w:r>
        <w:rPr>
          <w:b/>
        </w:rPr>
        <w:t>E. 5.1</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8C_676/2023 vom 22. Mai 2024 E. 3.2 mit Hinweis).</w:t>
      </w:r>
    </w:p>
    <w:p>
      <w:r>
        <w:rPr>
          <w:b/>
        </w:rPr>
        <w:t>E. 5.2</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8C_297/2024 vom 18. Dezember 2024 E. 5.2 mit Hinweis). Beratende Ärzte eines Versicherungsträgers sind, was den Beweiswert ihrer ärztlichen Beurteilung angeht, versicherungsinternen Ärzten gleichzusetzen (SVR 2021 UV Nr. 34 S. 154, 8C_672/2020 E. 2.3).</w:t>
      </w:r>
    </w:p>
    <w:p>
      <w:r>
        <w:rPr>
          <w:b/>
        </w:rPr>
        <w:t>E. 6.1</w:t>
      </w:r>
    </w:p>
    <w:p>
      <w:r>
        <w:t>Das kantonale Gericht würdigte einlässlich die wiederholt kontrovers geäusserten Einschätzungen der behandelnden Fachärzte einerseits und des Dr. med. E.________ andererseits. Dies betrifft insbesondere die medizinischen Fragen zu einzelnen Befunden im linken Kniegelenk (unter anderem eine Patella alta, eine Trochleadysplasie, eine Bone bruise Situation, ein retropatellärer Knorpelriss, ein Knochenmarködem und eine Gonarthrose) und deren Kausalität bzw. deren unfallbedingte vorübergehende Verschlimmerung. Nach den ausführlichen Erwägungen zu den komplexen Verhältnissen hinsichtlich krankhafter, degenerativer und/oder unfallbedingter Gesundheitsschäden im linken Kniegelenk gelangte die Vorinstanz zur Auffassung, auf die reinen Aktenbeurteilungen des Dr. med. E.________ sei abzustellen, ohne dass von weiteren medizinischen Abklärungen entscheidrelevante neue Erkenntnisse zu erwarten seien. Denn bei gegebener Aktenlage seien auch nur geringe Zweifel daran auszuschliessen, dass das Ereignis vom 21. Oktober 2021 lediglich zu einer vorübergehenden Verschlechterung eines degenerativen Vorzustands geführt habe und der Status quo sine/ante spätestens am 21. Januar 2022 erreicht worden sei.</w:t>
      </w:r>
    </w:p>
    <w:p>
      <w:r>
        <w:rPr>
          <w:b/>
        </w:rPr>
        <w:t>E. 6.2</w:t>
      </w:r>
    </w:p>
    <w:p>
      <w:r>
        <w:t>Demgegenüber hält der Beschwerdeführer auch vor Bundesgericht an seinen bereits im vorinstanzlichen Verfahren erhobenen Rügen einer bundesrechtswidrigen Beweiswürdigung und einer Verletzung des Untersuchungsgrundsatzes fest, indem auch das kantonale Gericht den Aktenbeurteilungen des beratenden Arztes der Beschwerdegegnerin bundesrechtswidrig volle Beweiskraft beigemessen und - trotz abweichender Kausalitätsbeurteilungen seiner behandelnden Ärzte - auch nur geringe Zweifel an der Schlüssigkeit der Einschätzungen des Dr. med. E.________ ausgeschlossen habe. So stellte das kantonale Gericht auf die Einschätzungen des Dr. med. E.________ ab, wonach der bildgebend festgestellte Knorpelschaden an der linken Kniescheibe einem degenerativen Ursprung zuzuordnen sei, weil dieser Arzt unter Bezugnahme auf die Befunde im ersten und zweiten MRI erkannt habe, dass sich im ersten MRI vom 11. November 2021 nur ein retropatellares Knochenödem zeigte, während ein Knochenödem an der Trochlea erst im zweiten MRI vom 21. Dezember 2021 nachgewiesen worden sei. Das zeitlich verzögerte Auftreten der Knochenödeme spreche gegen eine traumatische und für eine degenerative Genese. Hiergegen bringt der Beschwerdeführer vor, im Gegensatz zu Dr. med. E.________ habe sein behandelnder Knieorthopäde Dr. med. F.________ die MRI-Bilder selber gesehen und dabei erkannt, dass die primär angefertigte MR-tomographische Abklärung mittels Extremitäten-MRI in der Beurteilungsqualität nicht geeignet sei, um weitergehende und profunde Diagnosen seitens der degenerativen Veränderungen zu stellen. Die beiden Hauptargumente des Dr. med. E.________ - ein angeblich zeitlich verzögertes Auftreten sowie eine angebliche Zunahme der Knochenödeme - beruhten auf dessen Vergleich des ersten und des zweiten MRI-Befundes, nicht jedoch auf den originalen bildgebenden Untersuchungsergebnissen, was die Beschwerdegegnerin nicht bestreitet. Die anlässlich der MRT-Untersuchung vom 11. November 2021 ausdrücklich gestellte Verdachtsdiagnose eines unfallbedingten retropatellären Knorpelrisses habe Dr. med. E.________ in seiner ersten Aktenbeurteilung vom 23. Dezember 2021 ohne Begründung einfach als "mediale und retropatellare Arthrose des linken Kniegelenks mit Innenmeniskusdegeneration" umschrieben und in den folgenden Aktenbeurteilungen im Zusammenhang mit der mehrfach genannten Knorpelfissur bei der Wiedergabe des MRI-Befundes vom 11. November 2021 konsequent weggelassen.</w:t>
      </w:r>
    </w:p>
    <w:p>
      <w:r>
        <w:rPr>
          <w:b/>
        </w:rPr>
        <w:t>E. 6.3</w:t>
      </w:r>
    </w:p>
    <w:p>
      <w:r>
        <w:t>Angesichts dieser medizinisch komplexen und umstrittenen Ausgangslage mit kontroversen Auffassungen des Dr. med. E.________ einerseits und der behandelnden Ärzte des Beschwerdeführers andererseits in Bezug auf die Auswirkungen der unfallbedingten Verschlimmerung eines allfälligen Vorzustandes am linken Knie waren bei gegebener Aktenlage ohne externes Gutachten an die reinen Aktenbeurteilungen des die Beschwerdegegnerin beratenden Arztes strenge Anforderungen zu stellen (E. 5.2). Nachdem die Beschwerdegegnerin die abweichenden medizinischen Beurteilungen der behandelnden Ärzte bereits vor dem Erlass der Verfügung vom 2. März 2022 wiederholt ihrem beratenden Arzt vorgelegt hatte und der Beschwerdeführer mit Einsprache vom 18. März 2022 gestützt auf die medizinischen Beurteilungen seinen Standpunkt nochmals aus fachärztlicher Sicht einlässlich schriftlich begründet hatte, war die Beschwerdegegnerin gehalten, angesichts der zumindest geringen Zweifel an der Schlüssigkeit der reinen Aktenbeurteilungen ihres beratenden Arztes eine externe Begutachtung nach Art. 44 ATSG in Auftrag zu geben. Dies insbesondere aufgrund der von den behandelnden Ärzten mehrfach genannten Knorpelfissur und des Umstands, dass der beratende Arzt bei seiner Stellungnahme nicht über die Original-MRI-Bilder verfügte. Offenbleiben kann, ob nicht allein die Tatsache, dass die Beschwerdegegnerin die Akten sechsmal ihrem beratenden Arzt zur Stellungnahme vorgelegt hat, auf die Notwendigkeit schliessen liess, eine versicherungsexterne Begutachtung zu veranlassen. Jedenfalls hat die Vorinstanz bei gegebener Aktenlage Bundesrecht verletzt, indem sie unter beweismässiger Mitberücksichtigung der weiteren Aktenbeurteilungen des Dr. med. E.________ vom 30. März und 9. Juli 2023 auch nur geringe Zweifel an der Beweiskraft seiner Einschätzungen ausschloss.</w:t>
      </w:r>
    </w:p>
    <w:p>
      <w:r>
        <w:rPr>
          <w:b/>
        </w:rPr>
        <w:t>E. 6.4</w:t>
      </w:r>
    </w:p>
    <w:p>
      <w:r>
        <w:t>Zusammenfassend hat das kantonale Gericht mit Blick auf die medizinische Kontroverse um die Unfallkausalität unter den gegebenen Umständen bei unvollständiger Feststellung des rechtserheblichen Sachverhalts zu Unrecht geringe Zweifel an der Zuverlässigkeit und Schlüssigkeit der reinen Aktenbeurteilungen des Dr. med. E.________ verneint und Bundesrecht verletzt, indem es in antizipierter Beweiswürdigung auf ergänzende Abklärungen verzichtete. Die Beschwerdegegnerin wird nach Vervollständigung der medizinischen Aktenlage (insbesondere unter vollständiger Dokumentation des Bildmaterials zu den Untersuchungen des linken Knies ab Oktober 2021 zuhanden der Experten) ein versicherungsexternes knieorthopädisches Gutachten veranlassen. Dieses wird nicht nur die Frage nach allfälligen Unfallfolgen im linken Kniegelenk, sondern auch nach dem Zeitpunkt des Erreichens des Status quo sine vel ante und nach einer allfälligen richtunggebenden Verschlimmerung eines bis dahin stumm gebliebenen Vorzustandes durch den Unfall vom 21. Oktober 2021 zu beantworten haben.</w:t>
      </w:r>
    </w:p>
    <w:p>
      <w:r>
        <w:rPr>
          <w:b/>
        </w:rPr>
        <w:t>E. 7</w:t>
      </w:r>
    </w:p>
    <w:p>
      <w:r>
        <w:t>Es ist in erster Linie Aufgabe des Unfallversicherers, von Amtes wegen die notwendigen Abklärungen vorzunehmen, um den rechtserheblichen Sachverhalt vollständig festzustellen ( Art. 43 Abs. 1 ATSG ; BGE 149 V 218 E. 5.7 mit Hinweis). Die Sache ist daher an die Mobiliar zurückzuweisen, damit sie - nach Vervollständigung der bildgebenden Untersuchungsergebnisse - im Verfahren nach Art. 44 ATSG ein knieorthopädisches Gutachten einhole und anschliessend über den Leistungsanspruch des Beschwerdeführers ab 21. Januar 2022 neu verfüge (vgl. BGE 149 V 218 E. 5.7 i.f. mit Hinweisen; Urteil 8C_297/2024 vom 18. Dezember 2024 E. 7).</w:t>
      </w:r>
    </w:p>
    <w:p>
      <w:r>
        <w:rPr>
          <w:b/>
        </w:rPr>
        <w:t>E. 8</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dem Beschwerdeführer eine Parteientschädigung zu bezahlen ( Art. 68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