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8C_684/2018 vom 17. April 2019</w:t>
      </w:r>
    </w:p>
    <w:p>
      <w:r>
        <w:t>Bundesgericht, 2019-04-17, FR</w:t>
      </w:r>
    </w:p>
    <w:p>
      <w:r>
        <w:rPr>
          <w:b/>
        </w:rPr>
        <w:t xml:space="preserve">Quelle: </w:t>
      </w:r>
      <w:r>
        <w:t>https://mcp.opencaselaw.ch/entscheid/bger_8C_684_2018</w:t>
      </w:r>
    </w:p>
    <w:p>
      <w:r>
        <w:t>FR: TF 8C_684/2018 du 17 avril 2019</w:t>
      </w:r>
    </w:p>
    <w:p>
      <w:r>
        <w:t>IT: TF 8C_684/2018 del 17 aprile 2019</w:t>
      </w:r>
    </w:p>
    <w:p>
      <w:pPr>
        <w:pStyle w:val="Heading2"/>
      </w:pPr>
      <w:r>
        <w:t>Erwägungen</w:t>
      </w:r>
    </w:p>
    <w:p>
      <w:r>
        <w:rPr>
          <w:b/>
        </w:rPr>
        <w:t>E. 1</w:t>
      </w:r>
    </w:p>
    <w:p>
      <w:r>
        <w:t>Le litige porte sur les conditions de la remise de l'obligation de restituer les prestations de chômage indues, singulièrement sur le point de savoir si l'intimé remplit la condition de la bonne foi.</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 Il n'entre pas en matière sur des critiques appellatoires portant sur l'appréciation des preuves ou l'établissement des faits par l'autorité précédente ( ATF 141 IV 249 consid. 1.3.1 p. 253).</w:t>
      </w:r>
    </w:p>
    <w:p>
      <w:r>
        <w:rPr>
          <w:b/>
        </w:rPr>
        <w:t>E. 3</w:t>
      </w:r>
    </w:p>
    <w:p>
      <w:r>
        <w:t>Selon l' art. 25 al. 1 LPGA (RS 830.1),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9C_638/2014 du 13 août 2015 consid. 4.1).</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(cf. ATF 110 V 176 consid. 3d p. 181). On peut attendre d'un assuré qu'il décèle des erreurs manifestes et qu'il en fasse l'annonce à la caisse (cf. arrêt 9C_189/2012 du 21 août 2012 consid. 4 et les références). En revanche, le bénéficiaire peut invoquer sa bonne foi lorsque l'acte ou l'omission fautifs ne constituent qu'une violation légère de l'obligation d'annoncer ou de renseigner ( ATF 138 V 218 consid. 4 p. 220 s.; 112 V 97 consid. 2c p. 103; 110 V 176 consid. 3c p. 180). L'examen de l'attention exigible d'un ayant droit qui invoque sa bonne foi relève du droit et le Tribunal fédéral revoit librement ce point ( ATF 122 V 221 consid. 3 p. 223; 102 V 245 consid. b p. 246).</w:t>
      </w:r>
    </w:p>
    <w:p>
      <w:r>
        <w:rPr>
          <w:b/>
        </w:rPr>
        <w:t>E. 4.1</w:t>
      </w:r>
    </w:p>
    <w:p>
      <w:r>
        <w:t>La cour cantonale a considéré qu'on ne pouvait reprocher à l'intimé un comportement excluant toute bonne foi dès lors que celui-ci avait clairement indiqué exercer une activité de concierge à 25 % dans sa demande d'indemnité de chômage du 9 janvier 2012. Il avait en outre fait parvenir à la caisse une copie de son contrat de conciergerie et les fiches de salaires y afférentes pour les mois de février et mars 2012. L'assuré avait également fait régulièrement mention de son activité pour le compte de la société C.________ lors d'entretiens à l'ORP. La juridiction précédente a par ailleurs retenu qu'en omettant d'inscrire cette activité dans les formulaires IPA, l'intimé avait pu être amené à comprendre - que ce soit de son propre chef ou sur la base d'indications (erronées) fournies par l'administration - que ces formulaires ne concernaient que les activités entreprises après le chômage, à l'exclusion de son activité de concierge conservée à 25 %. Dans tous les cas, toujours d'après la cour cantonale, la caisse ne pouvait pas considérer les formulaires IPA de manière isolée en faisant abstraction des indications données par l'assuré lors de l'exercice du droit à l'indemnité. Enfin, le premier juge a considéré qu'on ne pouvait raisonnablement exiger de l'intimé qu'il maîtrise le calcul de ses indemnités au point de déceler une erreur sur le seul vu du décompte mensuel de la caisse, d'autant qu'au cours de la période considérée, celui-ci avait exercé successivement, respectivement simultanément, plusieurs activités en gain intermédiaire pour le compte de différents employeurs.</w:t>
      </w:r>
    </w:p>
    <w:p>
      <w:r>
        <w:rPr>
          <w:b/>
        </w:rPr>
        <w:t>E. 4.2</w:t>
      </w:r>
    </w:p>
    <w:p>
      <w:r>
        <w:t>Le recourant invoque une appréciation arbitraire des faits et une violation du droit fédéral. Il soutient que l'intimé a commis une négligence grave en omettant de renseigner la caisse de manière complète et exacte sur son activité. D'après le SDE, il était impératif que l'intimé indiquât son activité de concierge dans les formulaires IPA dès lors que la caisse pouvait "simplement s'y fier" pour déterminer le droit à l'indemnisation. Il était également primordial qu'il le fasse dans la mesure où ce formulaire était destiné uniquement à la caisse, laquelle était une institution indépendante de l'ORP. Selon le recourant, l'assuré avait d'ailleurs compris qu'il devait remplir correctement tous les mois les formulaires IPA puisqu'il y avait inscrit les autres emplois temporaires exercés au cours de son indemnisation. Enfin, le SDE fait valoir qu'en tout état de cause, l'intimé a commis une négligence grave en manquant de réagir lors du versement des prestations indues. D'après le recourant, l'intimé n'avait en effet pas agi avec toute l'attention qu'on pouvait attendre de lui, puisqu'il lui suffisait de faire une simple addition des montants reçus à titre de salaire et d'indemnités de chômage au terme de chaque mois pour se rendre compte des montants anormalement élevés qu'il recevait; la somme perçue au mois d'avril 2012 excédait notamment de près de 1'000 fr. (soit environ 25 %) le revenu qu'il obtenait avant d'être au chômage.</w:t>
      </w:r>
    </w:p>
    <w:p>
      <w:r>
        <w:rPr>
          <w:b/>
        </w:rPr>
        <w:t>E. 4.3</w:t>
      </w:r>
    </w:p>
    <w:p>
      <w:r>
        <w:t>En l'espèce, on doit admettre avec le premier juge qu'en omettant d'inscrire son activité de concierge dans les formulaires IPA, l'intimé a commis une violation légère de l'obligation d'annoncer ou de renseigner. En effet, il ressort des faits établis par la juridiction cantonale - qui lient le Tribunal fédéral - que l'intimé a annoncé tant à l'ORP qu'à la caisse qu'il exerçait une activité de concierge à 25 %. Celle-ci avait d'ailleurs admis, lors de la procédure fédérale précédente - portant sur la question de la restitution - avoir commis une erreur en omettant de faire une notice de rappel dans le dossier de l'assuré, selon laquelle celui-ci conservait son emploi de concierge (cf. arrêt 8C_689/2016 du 5 juillet 2017). Partant, si l'intimé était certes tenu d'indiquer cette activité dans les formulaires IPA, la caisse disposait néanmoins de toutes les indications nécessaires au dossier concernant la poursuite de l'emploi au sein de la société C.________ pour déterminer correctement le droit à l'indemnisation. Tel que l'a relevé la juridiction cantonale, l'intimé a raisonnablement pu penser que l'emploi de concierge qu'il exerçait déjà à 25 % avant son inscription au chômage était considéré comme un gain accessoire et n'était pas pris en considération dans l'indemnisation, celle-ci ne portant que sur la disponibilité restante de 75 %. Un indice sérieux dans ce sens réside dans le fait qu'il a dûment indiqué chaque mois tous les autres emplois réalisés à titre de gains intermédiaires. Par ailleurs, il sied de préciser qu'entre le mois d'avril 2012 et le mois de juin 2013, l'intimé a exercé, en sus de son emploi au sein de la société C.________, plusieurs activités en gains intermédiaires à un taux variable pour le compte d'employeurs différents et qu'il a reçu des indemnités journalières de la caisse dont le montant a varié chaque mois de manière considérable. A cet égard, lorsque le recourant allègue qu'au mois d'avril 2012 le revenu de l'assuré excédait de près de 1'000 fr. celui qu'il obtenait avant d'être au chômage, il se fonde sur des faits qui n'ont pas été constatés par la juridiction précédente et ne peuvent dès lors pas être retenus (cf. consid. 2 supra). Au demeurant, le fait que la caisse a demandé à l'assuré deux mois après son inscription à 50 % d'augmenter le taux d'activité recherché à 75 % a pu créer une confusion chez ce dernier. Vu ce qui précède, la cour cantonale a retenu à juste titre que l'omission de l'intimé ne constituait pas une négligence grave de nature à exclure sa bonne foi. Par conséquent, le jugement attaqué n'est pas critiquable et le recours se révèle mal fondé.</w:t>
      </w:r>
    </w:p>
    <w:p>
      <w:r>
        <w:rPr>
          <w:b/>
        </w:rPr>
        <w:t>E. 5</w:t>
      </w:r>
    </w:p>
    <w:p>
      <w:r>
        <w:t>B ien qu'il succombe, le recourant ne peut se voir imposer des frais de justice ( art. 66 al. 4 LTF ; ATF 133 V 640 consid. 4.5 p. 641). L'intimé, qui est représenté par une collaboratrice juridique d'une compagnie d'assurance de protection juridique, a droit à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