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8C_682/2009 vom 23. Oktober 2009</w:t>
      </w:r>
    </w:p>
    <w:p>
      <w:r>
        <w:t>Bundesgericht, 2009-10-23, DE</w:t>
      </w:r>
    </w:p>
    <w:p>
      <w:r>
        <w:rPr>
          <w:b/>
        </w:rPr>
        <w:t xml:space="preserve">Quelle: </w:t>
      </w:r>
      <w:r>
        <w:t>https://mcp.opencaselaw.ch/entscheid/bger_8C_682_2009</w:t>
      </w:r>
    </w:p>
    <w:p>
      <w:r>
        <w:t>FR: TF 8C_682/2009 du 23 octobre 2009</w:t>
      </w:r>
    </w:p>
    <w:p>
      <w:r>
        <w:t>IT: TF 8C_682/2009 del 23 ottobre 2009</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In BGE 133 V 477 hat sich das Bundesgericht mit den in Art. 90 bis 93 BGG geregelten End-, Teil- sowie Vor- und Zwischenentscheiden befasst und erwogen, ein Rückweisungsentscheid schliesse das Verfahren nicht ab und sei somit nach der Regelung des BGG kein Endentscheid.</w:t>
      </w:r>
    </w:p>
    <w:p>
      <w:r>
        <w:rPr>
          <w:b/>
        </w:rPr>
        <w:t>E. 1.3</w:t>
      </w:r>
    </w:p>
    <w:p>
      <w:r>
        <w:t>Ob ein Zwischen- oder Endentscheid vorliegt, kann offen gelassen werden, wenn das Bundesgericht auch auf die Beschwerde gegen einen Zwischenentscheid eintreten würde, das heisst, wenn die Beschwerde der Arbeitslosenkasse unter den in Art. 93 Abs. 1 lit. a und b BGG erwähnten Voraussetzungen zulässig ist.</w:t>
      </w:r>
    </w:p>
    <w:p>
      <w:r>
        <w:rPr>
          <w:b/>
        </w:rPr>
        <w:t>E. 1.4</w:t>
      </w:r>
    </w:p>
    <w:p>
      <w:r>
        <w:t>Ein nicht wieder gutzumachender Nachteil im Sinne von Art. 93 Abs. 1 lit. a BGG muss rechtlicher Natur und somit auch mit einem für die Beschwerde führende Partei günstigen Endentscheid nicht oder nicht vollständig behebbar sein.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Das Bundesgericht nimmt einen nicht wieder gutzumachenden Nachteil im Sinne von Art. 93 Abs. 1 lit. a BGG an, wenn eine beschwerdebefugte Behörde durch einen Rückweisungsentscheid gezwungen wird, eine ihrer Ansicht nach rechtswidrige Verfügung zu erlassen. Da die Behörde ihren eigenen Entscheid mangels formeller Beschwer nicht anfechten kann, könnte er rechtskräftig werden, ohne dass sie je Gelegenheit hatte, ihn dem Bundesgericht zu unterbreiten. Um diese Situation zu vermeiden, darf eine zur Beschwerdeführung legitimierte Behörde unter Berufung auf Art. 93 Abs. 1 lit. a BGG bereits gegen den Rückweisungsentscheid oder einen ihn bestätigenden Entscheid an das Bundesgericht gelangen. Die entsprechenden Überlegungen gelten gemäss Rechtsprechung auch für Behörden, die auf einen Rückweisungsentscheid hin nicht selber neu verfügen müssen, wenn sie in der interessierenden Sache zwar beim Bundesgericht beschwerdebefugt sind, nicht jedoch bei der dem Bundesgericht vorgelagerten Instanz (Urteile 8C_817/2008 vom 19. Juni 2009 E. 4.2.1, 2C_258/2008 vom 27. März 2009 E. 3.5 ff., 8C_969/2008 vom 2. März 2009 E. 3.2, 2C_420/2008 vom 3. Februar 2009 E. 4.4 ff. und 2C_275/2008 vom 19. Juni 2008 E. 1.2, je mit Hinweisen). Vorliegend könnte die Arbeitslosenkasse ihre eigene Verfügung über die Ausrichtung von Insolvenzentschädigung nicht beim kantonalen Gericht anfechten, weshalb die Voraussetzung von Art. 93 Ziff. 1 lit. a BGG erfüllt ist. Auf die Beschwerde wird eingetreten.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3.1</w:t>
      </w:r>
    </w:p>
    <w:p>
      <w:r>
        <w:t>Im vorinstanzlichen Entscheid werden die Bestimmungen und Grundsätze zum Anspruch auf Insolvenzentschädigung ( Art. 51 Abs. 1 und Art. 58 AVIG ; vg zu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(vgl. URS BURGHERR, Die Insolvenzentschädigung, 2004, S. 166). Das Ausmass der geforderten Schadenminderungspflicht richtet sich nach den jeweiligen Umständen des Einzelfalls.</w:t>
      </w:r>
    </w:p>
    <w:p>
      <w:r>
        <w:rPr>
          <w:b/>
        </w:rPr>
        <w:t>E. 4.1</w:t>
      </w:r>
    </w:p>
    <w:p>
      <w:r>
        <w:t>Das kantonale Gericht hat in tatsächlicher Hinsicht festgestellt, dass die Löhne dem Versicherten seit Februar 2008 und damit während der letzten sechs Monate des Arbeitsverhältnisses nicht mehr ausbezahlt worden seien. Die Lohnausstände seien lediglich mündlich geltend gemacht worden. Zudem sei darauf hingewiesen worden, dass die Tochter des Versicherten mit S.________ verheiratet sei. Die Vorinstanz hat insbesondere letzteren Sachverhalt als "mildernden Umstand" gewürdigt. Auf Grund des nahen persönlichen Verhältnisses zwischen Arbeitgeber und Arbeitnehmer sei es nachvollziehbar, dass in der Zeit vor Auflösung des Arbeitsverhältnisses keine rechtlichen Schritte zur Realisierung der Lohnausstände unternommen worden seien. In Anbetracht dieser besonderen Umstände des Einzelfalles könne nicht von einer grobfahrlässigen Verletzung der Schadenminderungspflicht, die mit einer Leistungsverweigerung zu sanktionieren sei, gesprochen werden.</w:t>
      </w:r>
    </w:p>
    <w:p>
      <w:r>
        <w:rPr>
          <w:b/>
        </w:rPr>
        <w:t>E. 4.2</w:t>
      </w:r>
    </w:p>
    <w:p>
      <w:r>
        <w:t>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Der Umstand allein, dass zwischen dem Arbeitgeber und dem Arbeitnehmer verwandtschaftliche Beziehungen bestehen, gilt entgegen den Ausführungen des kantonalen Gerichts jedenfalls nicht als hinreichende Begründung für ein völliges Untätigbleiben während eines halben Jahres. Dass der Beschwerdeführer im Hinblick auf das bestehende Familienverhältnis von weiteren Massnahmen zur Realisierung der Lohnansprüche abgesehen hat, mag zwar aus persönlicher Sicht als verständlich erscheinen, hat unter arbeitslosenversicherungsrechtlichen Aspekten aber schon aus Gründen der Gleichbehandlung der Versicherten unberücksichtigt zu bleiben (vgl. Urteil C 240/05 vom 14. Februar 2006 E. 2.3).</w:t>
      </w:r>
    </w:p>
    <w:p>
      <w:r>
        <w:t>Es liegen überhaupt keine Sachverhaltselemente vor, die darauf hindeuten würden, dass der Versicherte etwas unternommen hätte, um zu seinem Lohn zu kommen. Das im vorinstanzlichen Verfahren erhobene Argument, die Löhne seien "von jeher" verspätet ausbezahlt worden, weshalb nicht mit einem Ausbleiben habe gerechnet werden müssen, ist nicht belegt. Zudem könnte dieses Argument lediglich bei verspäteter Zahlung von einigen Wochen, höchstens ein bis zwei Monate behelflich sein. Bei einem während sechs Monaten dauernden Ausstand ist ein - tatenloses - Zuwarten nicht mehr als objektiv verständlich zu werten. Ausser der persönlich-verwandtschaftlichen Nähe zwischen Arbeitgeber und Arbeitnehmer hat denn auch das kantonale Gericht keine weiteren Umstände genannt, welche das Verhalten des Beschwerdegegners einsichtig und nachvollziehbar erscheinen liessen, weshalb sein Entscheid in Gutheissung der Beschwerde aufgehoben und der Anspruch des Versicherten auf Insolvenzentschädigung wegen Verletzung seiner Schadenminderungspflicht vor der Konkurseröffnung verneint wird.</w:t>
      </w:r>
    </w:p>
    <w:p>
      <w:r>
        <w:rPr>
          <w:b/>
        </w:rPr>
        <w:t>E. 5</w:t>
      </w:r>
    </w:p>
    <w:p>
      <w:r>
        <w:t>Dem Verfahrensausgang entsprechend hat der unterliegende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