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8C_679/2013 vom 7. Juli 2014</w:t>
      </w:r>
    </w:p>
    <w:p>
      <w:r>
        <w:t>Bundesgericht, 2014-07-07, FR</w:t>
      </w:r>
    </w:p>
    <w:p>
      <w:r>
        <w:rPr>
          <w:b/>
        </w:rPr>
        <w:t xml:space="preserve">Quelle: </w:t>
      </w:r>
      <w:r>
        <w:t>https://mcp.opencaselaw.ch/entscheid/bger_8C_679_2013</w:t>
      </w:r>
    </w:p>
    <w:p>
      <w:r>
        <w:t>FR: TF 8C_679/2013 du 7 juillet 2014</w:t>
      </w:r>
    </w:p>
    <w:p>
      <w:r>
        <w:t>IT: TF 8C_679/2013 del 7 luglio 2014</w:t>
      </w:r>
    </w:p>
    <w:p>
      <w:pPr>
        <w:pStyle w:val="Heading2"/>
      </w:pPr>
      <w:r>
        <w:t>Erwägungen</w:t>
      </w:r>
    </w:p>
    <w:p>
      <w:r>
        <w:rPr>
          <w:b/>
        </w:rPr>
        <w:t>E. 1</w:t>
      </w:r>
    </w:p>
    <w:p>
      <w:r>
        <w:t>Le jugement entrepris a été rendu en matière de rapports de travail de droit public au sens de l' art. 83 let . g LTF. Comme la contestation porte sur l'annulation d'une décision de révocation, il s'agit d'une contestation de nature pécuniaire et le motif d'exclusion de l' art. 83 let . g LTF n'entre pas en considération (voir par exemple les arrêts 8C_480/2012 du 28 juin 2013 consid. 1 et 8C_907/2010 du 8 juillet 2011 consid. 1.1). La valeur litigieuse atteint par ailleurs le seuil de 15'000 fr. ouvrant la voie du recours en matière de droit public en ce domaine (art. 51 al. 2 et 85 al. 1 let. b LTF).</w:t>
      </w:r>
    </w:p>
    <w:p>
      <w:r>
        <w:t>Pour le surplus, interjeté en temps utile ( art. 100 al. 1 LTF ) contre une décision finale ( art. 90 LTF ) prise en dernière instance cantonale ( art. 86 al. 1 let . d LTF), le recours en matière de droit public est recevable.</w:t>
      </w:r>
    </w:p>
    <w:p>
      <w:r>
        <w:t>Partant, en raison de son caractère subsidiaire, le recours constitutionnel n'est pas recevable ( art. 113 LTF ).</w:t>
      </w:r>
    </w:p>
    <w:p>
      <w:r>
        <w:rPr>
          <w:b/>
        </w:rPr>
        <w:t>E. 2.1</w:t>
      </w:r>
    </w:p>
    <w:p>
      <w:r>
        <w:t>Selon l'art. 36 al. 1. de la loi genevoise sur la police du 26 octobre 1957 (RSG F1 05; LPol), dans sa teneur en vigueur au moment des faits, les sanctions disciplinaires qui peuvent être infligées aux sous-brigadiers de la gendarmerie (cf. art. 6 al. 1 let . g ch. 5 LPol) sont, suivant la gravité du cas, l'avertissement, le blâme, les services hors tour, la suspension pour une durée déterminée, sans traitement, la dégradation et la révocation. Cette dernière sanction est prononcée par le Conseil d'Etat (art. 36 al. 3 LPol).</w:t>
      </w:r>
    </w:p>
    <w:p>
      <w:r>
        <w:rPr>
          <w:b/>
        </w:rPr>
        <w:t>E. 2.2</w:t>
      </w:r>
    </w:p>
    <w:p>
      <w:r>
        <w:t>Sans contester les faits incriminés, le recourant reproche aux premiers juges d'avoir appliqué arbitrairement cette disposition et violé le principe de proportionnalité en confirmant la révocation prononcée par le Conseil d'Etat. Il soutient qu'au vu des circonstances du cas d'espèce, à savoir le fait que le comportement reproché était un cas isolé, que le risque de récidive était nul et qu'il travaillait à nouveau au sein d'un corps de police, la juridiction cantonale aurait dû conclure à une sanction moins incisive.</w:t>
      </w:r>
    </w:p>
    <w:p>
      <w:r>
        <w:rPr>
          <w:b/>
        </w:rPr>
        <w:t>E. 2.3</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8C_220/2010 du 18 octobre 2010 consid. 4.3 et 2C_118/2008 du 21 novembre 2008 consid. 3.1).</w:t>
      </w:r>
    </w:p>
    <w:p>
      <w:r>
        <w:rPr>
          <w:b/>
        </w:rPr>
        <w:t>E. 2.4</w:t>
      </w:r>
    </w:p>
    <w:p>
      <w:r>
        <w:t>Dans le domaine des mesures disciplinaires, la révocation est certes la sanction la plus lourde. Elle est l'ultima ratio.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8C_203/2010 du 1</w:t>
      </w:r>
    </w:p>
    <w:p>
      <w:r>
        <w:t>er mars 2011 consid. 3.5).</w:t>
      </w:r>
    </w:p>
    <w:p>
      <w:r>
        <w:rPr>
          <w:b/>
        </w:rPr>
        <w:t>E. 2.5</w:t>
      </w:r>
    </w:p>
    <w:p>
      <w:r>
        <w:t>Avec raison, les premiers juges admettent le bien-fondé de la révocation prononcée à l'encontre du recourant. L'intégrité d'un fonctionnaire de police, à qui des pouvoirs étendus sont conférés, dont certains sont de nature à entraver la liberté d'autrui, répond à des exigences élevées (cf. arrêt 8C_141/2011 du 9 mars 2012, consid. 5.2). En frappant B.________ au visage alors que celui-ci se trouvait à sa merci et menotté, en frappant ensuite la tête de ce dernier contre le mur de la salle d'audition, puis enfin en dénonçant calomnieusement sa victime pour se dégager de ses responsabilités, le recourant a manifestement violé ses devoirs de service. Son comportement gravement fautif, survenu après des années d'expérience et une formation complète dans le domaine des techniques d'intervention, était de nature à entraîner la rupture définitive du lien de confiance avec son employeur.</w:t>
      </w:r>
    </w:p>
    <w:p>
      <w:r>
        <w:t>Même si le risque de récidive était nul, comme le prétend le recourant, les fautes commises étaient d'une gravité telle qu'elles justifiaient à elles seules la révocation prononcée. On ne saurait pas ailleurs sous-estimer la portée de ces actes sur ses collaborateurs et sur la confiance des administrés dans la police. Le fait que le recourant travaille à nouveau au sein du corps de la police municipale de D.________ démontre une certaine clémence à l'égard d'un fonctionnaire dont les qualités professionnelles ont été reconnues par ailleurs. Cet engagement ne saurait cependant remettre en cause la révocation du recourant de son poste à responsabilités au sein de la gendarmerie du canton de Genève. En retenant que les faits reprochés au recourant relevaient de la voie disciplinaire et qu'ils étaient suffisamment graves pour justifier une révocation, les premiers juges n'ont à l'évidence pas fait une application insoutenable de l'art. 36 LPol. Le principe de proportionnalité, qui se confond ici avec le grief d'arbitraire (supra consid. 2.3), n'a dès lors pas été violé.</w:t>
      </w:r>
    </w:p>
    <w:p>
      <w:r>
        <w:rPr>
          <w:b/>
        </w:rPr>
        <w:t>E. 3</w:t>
      </w:r>
    </w:p>
    <w:p>
      <w:r>
        <w:t>Il résulte de ce qui précède que le recours, manifestement infondé, doit être rejeté, selon la procédure simplifiée de l' art. 109 al. 2 let. a LTF .</w:t>
      </w:r>
    </w:p>
    <w:p>
      <w:r>
        <w:t>Le recourant, qui succombe, supportera les frais judiciaires ( art. 66 al. 1 LTF ). Bien qu'obtenant gain de cause, la partie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