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677/2015 vom 14. Dezember 2015</w:t>
      </w:r>
    </w:p>
    <w:p>
      <w:r>
        <w:t>Bundesgericht, 2015-12-14, DE</w:t>
      </w:r>
    </w:p>
    <w:p>
      <w:r>
        <w:rPr>
          <w:b/>
        </w:rPr>
        <w:t xml:space="preserve">Quelle: </w:t>
      </w:r>
      <w:r>
        <w:t>https://mcp.opencaselaw.ch/entscheid/bger_8C_677_2015</w:t>
      </w:r>
    </w:p>
    <w:p>
      <w:r>
        <w:t>FR: TF 8C 677/2015 du 14 décembre 2015</w:t>
      </w:r>
    </w:p>
    <w:p>
      <w:r>
        <w:t>IT: TF 8C 677/2015 del 14 dicembre 2015</w:t>
      </w:r>
    </w:p>
    <w:p>
      <w:pPr>
        <w:pStyle w:val="Heading2"/>
      </w:pPr>
      <w:r>
        <w:t>Regeste</w:t>
      </w:r>
    </w:p>
    <w:p>
      <w:r>
        <w:t>Invalidenversicherung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2</w:t>
      </w:r>
    </w:p>
    <w:p>
      <w:r>
        <w:t>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siehe auch BGE 133 V 545 ). Liegt in diesem Sinne ein Revisionsgrund vor, ist der Rentenanspruch in rechtlicher und tatsächlicher Hinsicht allseitig neu zu prüfen, wobei keine Bindung an frühere Beurteilungen besteht ( BGE 117 V 198 E. 4b S. 200; 141 V 9 E. 2.3 S. 11 mit Hinweisen und E. 6.1 S. 13).</w:t>
      </w:r>
    </w:p>
    <w:p>
      <w:r>
        <w:rPr>
          <w:b/>
        </w:rPr>
        <w:t>E. 3</w:t>
      </w:r>
    </w:p>
    <w:p>
      <w:r>
        <w:t>Streitig ist, ob die Vorinstanz Bundesrecht verletzte, indem sie die revisionsweise Aufhebung der ganzen Invalidenrente bestätigte.</w:t>
      </w:r>
    </w:p>
    <w:p>
      <w:r>
        <w:rPr>
          <w:b/>
        </w:rPr>
        <w:t>E. 3.1.1</w:t>
      </w:r>
    </w:p>
    <w:p>
      <w:r>
        <w:t>Die Vorinstanz hat für das Bundesgericht bindend erkannt, gemäss den der Rentenzusprache zugrunde gelegten Arztberichten habe in psychischer Hinsicht eine schwere depressive Störung mit Angstsymptomen und Beziehungsideen im Rahmen einer posttraumatischen Belastungsstörung bestanden. Somatisch sei bildgebend eine breitbasige medio-linksseitige Diskushernie L4/5, die den Duralsack imprimiere und dabei den linken Rezessus deutlicher obliteriere als den rechten, mit einer Dorsalabdrängung der Wurzel L5, die hier beeinträchtigt werde sowie auf Bandscheibenniveau ein knapper Kontakt zur Wurzel L5, festgestellt worden. Weiter sei eine leichte bis mässige Facettenarthrose L4/5 und L5/S1 und eine Chondrose mit medianer Diskusprotrusion L5/S1 ohne Nervenwurzelkompression beschrieben worden (Berichte des Dr. med. C.________, Psychiatrie und Psychotherapie, vom 27. Juni 2003, des Dr. med. D.________, Facharzt FMH für Allgemeine Medizin, vom 19. Februar 2004 sowie des Dr. med. E.________, Röntgeninstitut, vom 21. März 2003).</w:t>
      </w:r>
    </w:p>
    <w:p>
      <w:r>
        <w:rPr>
          <w:b/>
        </w:rPr>
        <w:t>E. 3.1.2</w:t>
      </w:r>
    </w:p>
    <w:p>
      <w:r>
        <w:t>Gestützt auf das beweiskräftige, bidisziplinäre Gutachten des medizinischen Abklärungszentrums B.________ vom 31. Oktober 2014 habe sich der Gesundheitszustand erheblich verbessert. Laut Dr. med. F.________, Facharzt für Orthopädische Chirurgie und Traumatologie des Bewegungsapparates, bestehe eine medio-linksseitige Diskushernie L4/5 mit Kontakt zur rezessalen Wurzel L5 links sowie eine Diskushernie L3/4 mit Kontakt zur Nervenwurzel L3 rechts und leichte Facettenarthrosen L4/5 und L5/S1, ausserdem ein chronisches lumbales Schmerzsyndrom mit pseudoradikulärer Symptomatik. Der Psychiater und Psychotherapeut Dr. med. G.________ habe sodann eine rezidivierende depressive Störung mit überwiegend mittelgradigen depressiven Episoden mit somatischem Syndrom (ICD-10 F33.11), bestehend seit etwa 2001, gegenwärtig leichte bis mittelgradige depressive Episode (ICD F33.0, F33.1), bestehend seit mindestens 08/2012 und eine posttraumatische Belastungsstörung (ICD-10 F43.1), bestehend seit mindestens 08/2012, diagnostiziert. Während ursprünglich von einer schweren depressiven Episode ausgegangen worden sei, sei im Gutachtenszeitpunkt lediglich noch eine leichte bis mittelschwere depressive Episode vorgelegen, weshalb sich der Gesundheitszustand, - auch wenn sich die Rückenproblematik zwischenzeitlich insofern verschlechtert habe, als zusätzlich eine Diskushernie L3/4 mit Kontakt zur Nervenwurzel L3/4 festgestellt worden sei, welche jedoch hinsichtlich Einschätzung der Arbeitsfähigkeit nicht ins Gewicht falle - in anspruchsrelevanter Weise verändert habe. Entgegen den Darlegungen in der Beschwerde hat das Gericht nachvollziehbar dargelegt, worin in den Ausführungen des Experten in Bezug auf das depressive Geschehen eine Verbesserung des Zustands zu erblicken ist, weshalb nicht bloss eine andere Einschätzung des im Wesentlichen gleich gebliebenen Gesundheitszustands vorliegt.</w:t>
      </w:r>
    </w:p>
    <w:p>
      <w:r>
        <w:rPr>
          <w:b/>
        </w:rPr>
        <w:t>E. 3.1.3</w:t>
      </w:r>
    </w:p>
    <w:p>
      <w:r>
        <w:t>Das kantonale Gericht erachtete den Beschwerdeführer auf der Grundlage der gutachterlichen Einschätzung seit März 2003 in seiner angestammten Hilfstätigkeit in einer Druckerei im Umfang von 60 % als arbeitsfähig und in einer angepassten Tätigkeit zu 90 % bzw. seit August 2012 zu 70 % einer Vollzeittätigkeit arbeitsfähig. Diese Feststellungen sind nicht offensichtlich unrichtig, weshalb das kantonale Gericht zu Recht einen Revisionsgrund bejahte.</w:t>
      </w:r>
    </w:p>
    <w:p>
      <w:r>
        <w:rPr>
          <w:b/>
        </w:rPr>
        <w:t>E. 3.2</w:t>
      </w:r>
    </w:p>
    <w:p>
      <w:r>
        <w:t>Der Beschwerdeführer rügt, in Verletzung des Untersuchungsgrundsatzes und des rechtlichen Gehörs habe die Vorinstanz auf die Einholung eines polydisziplinären Gutachtens verzichtet, womit er nicht durchdringt. Stichhaltige Hinweise, dass er mit Einfluss auf die Arbeits- und Erwerbsfähigkeit seit über zehn Jahren an Bluthochdruck, Hepatitis C sowie Akne leidet, finden sich in den medizinischen Akten keine. Hinsichtlich des geltend gemachten Einflusses der Ganzkörperakne auf die psychische Problematik geht aus keinem Arztbericht hervor, dass diese die psychische Verfassung des Versicherten beeinflusst. Die Akne wird von den Gutachtern dementsprechend unter den Diagnosen ohne Relevanz für die Arbeitsfähigkeit aufgeführt. Eine die bundesrechtlichen Beweisregeln missachtende, willkürliche Sachverhaltsfeststellung liegt ebenso wenig vor wie ein Verstoss gegen die vom Versicherten angeführten Garantien der EMRK (Art. 6, Gleichheits- und Fairnessgebot, Willkürverbot).</w:t>
      </w:r>
    </w:p>
    <w:p>
      <w:r>
        <w:rPr>
          <w:b/>
        </w:rPr>
        <w:t>E. 4.1</w:t>
      </w:r>
    </w:p>
    <w:p>
      <w:r>
        <w:t>Mit Blick auf die nicht medizinische, beruflich-erwerbliche Seite der Invaliditätsbemessung wendet sich der Beschwerdeführer gegen die Festsetzung des Valideneinkommens auf der Basis des im Jahr 2003 erzielten Lohnes von Fr. 51'480.-. Im Jahre 2000 habe er als Gesunder Fr. 62'796.- verdient, welches Einkommen heranzuziehen sei. Ferner habe die Vorinstanz in willkürlicher Weise die Einkommen nicht parallelisiert. Ausländer vom Balkan ohne Berufsausbildung würden ca. 20 % weniger verdienen als die hiesige Bevölkerung. Überdies sei zu Unrecht auf einen leidensbedingten Abzug hinsichtlich des Invalideneinkommens verzichtet worden.</w:t>
      </w:r>
    </w:p>
    <w:p>
      <w:r>
        <w:rPr>
          <w:b/>
        </w:rPr>
        <w:t>E. 4.2</w:t>
      </w:r>
    </w:p>
    <w:p>
      <w:r>
        <w:t>Die Beschwerdegegnerin ermittelte das Valideneinkommen in der Verfügung vom 31. Oktober 2014 gestützt auf ihre frühere Beurteilung und unter Berücksichtigung der Einkommensentwicklung bis ins Jahr 2013, woraus sich ein hypothetischer Verdienst als Gesunder in der Höhe von Fr. 59'247.- ergab. Die Bestimmung des im Gesundheitsfall erzielbaren Einkommens hat so konkret wie möglich zu geschehen. Dabei ist in der Regel am zuletzt erzielten, nötigenfalls der Teuerung und der realen Einkommensentwicklung angepassten Verdienst anzuknüpfen ( BGE 134 V 322 E. 4.1 S. 325). Wenn Verwaltung und Vorinstanz sich dabei auf die Einkommensverhältnisse des Beschwerdeführers hinsichtlich seiner zuletzt ausgeübten Tätigkeit als Druckereihilfsarbeiter bei der H.________ AG stützten, und diese im Arbeitgeberfragebogen vom 4. Februar 2003 angab, sein damaliger Lohn als Gesunder würde Fr. 51'480.- betragen, lässt sich die vorinstanzliche Festsetzung des Valideneinkommens nicht beanstanden. Er vermag sodann nicht hinreichend substanziiert darzulegen, weshalb die Vorinstanz zu Unrecht keine Parallelisierung der Vergleichseinkommen vorgenommen haben soll (vgl. BGE 141 V 1 E. 5 mit Hinweisen). Dass er bei seiner letzten Tätigkeit in der Druckerei deutlich unterdurchschnittlich verdient hätte, wird denn auch nicht vorgebracht.</w:t>
      </w:r>
    </w:p>
    <w:p>
      <w:r>
        <w:rPr>
          <w:b/>
        </w:rPr>
        <w:t>E. 4.3.1</w:t>
      </w:r>
    </w:p>
    <w:p>
      <w:r>
        <w:t>Das kantonale Gericht hat für das Invalideneinkommen einen Tabellenlohn herangezogen. Einen Abzug davon hat es - unter Berücksichtigung der gesundheitlichen Einschränkung und der Teilzeitarbeit - nicht vorgenommen.</w:t>
      </w:r>
    </w:p>
    <w:p>
      <w:r>
        <w:rPr>
          <w:b/>
        </w:rPr>
        <w:t>E. 4.3.2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 Die Frage, ob ein (behinderungsbedingt oder anderweitig begründeter) Abzug vorzunehmen sei, ist eine Rechtsfrage ( BGE 137 V 71 E. 5.1 S. 72 f. mit Hinweis; Urteil 8C_652/2008 vom 8. Mai 2009 E. 4 in fine, nicht publiziert in: BGE 135 V 297 ).</w:t>
      </w:r>
    </w:p>
    <w:p>
      <w:r>
        <w:rPr>
          <w:b/>
        </w:rPr>
        <w:t>E. 4.3.3</w:t>
      </w:r>
    </w:p>
    <w:p>
      <w:r>
        <w:t>Aus der Tabelle TA12 der Lohnstrukturerhebung des Bundesamtes für Statistik (LSE 2010 und 2012) geht hervor, dass der Lohn von Männern (ohne Kaderfunktion) im Vergleich zum Gesamtdurchschnitt rund 4 % geringer ausfällt, wenn es sich - wie beim Versicherten - um Ausländer mit Niederlassungsbewilligung (Kategorie C) handelt. Ob dem im Hinblick auf seinen Einwand, er verdiene, da aus dem Balkan stammend, von vornherein ca. 20 % weniger als die einheimische Bevölkerung, mit einem Abzug Rechnung zu tragen ist, kann offen gelassen werden. Auch wenn ein solcher berücksichtigt würde, wäre er nur mit 5 % zu veranschlagen. Ferner ist der Umstand allein, dass nunmehr leichte körperliche Tätigkeiten mit geringen intellektuellen Anforderungen zumutbar sind, kein Grund für einen leidensbedingten Abzug, da der Tabellenlohn im Anforderungsniveau 4 bereits eine Vielzahl von leichten und mittelschweren Tätigkeiten umfasst (Urteil 9C_386/2012 vom 18. September 2012 E. 5.2). Würde dennoch den gesundheitlichen Einbussen in der Leistungsfähigkeit sowie der längeren Abstinenz vom Arbeitsmarkt mit einem Abzug von je 5 % Rechnung getragen, resultierte auch bei einem gesamthaften Abzug von 15 % ein den Rentenanspruch ausschliessender Invaliditätsgrad von 37 %. Dies führt zur Bestätigung des vorinstanzlichen Entscheids.</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