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8C_675/2020 vom 3. März 2021</w:t>
      </w:r>
    </w:p>
    <w:p>
      <w:r>
        <w:t>Bundesgericht, 2021-03-03, DE</w:t>
      </w:r>
    </w:p>
    <w:p>
      <w:r>
        <w:rPr>
          <w:b/>
        </w:rPr>
        <w:t xml:space="preserve">Quelle: </w:t>
      </w:r>
      <w:r>
        <w:t>https://mcp.opencaselaw.ch/entscheid/bger_8C_675_2020</w:t>
      </w:r>
    </w:p>
    <w:p>
      <w:r>
        <w:t>FR: TF 8C_675/2020 du 3 mars 2021</w:t>
      </w:r>
    </w:p>
    <w:p>
      <w:r>
        <w:t>IT: TF 8C_675/2020 del 3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einzig, ob die Vorinstanz zu Recht für die Beurteilung des Anspruchs auf eine Invalidenrente auf den Bericht von Dr. med. B.________, Fachärztin für orthopädische Chirurgie und Traumatologie des Bewegungsapparates, vom 27. August 2018 abgestellt hat. Nicht streitig ist hingegen, dass mangels Gewährung der Parteirechte diese Einschätzung nicht als Gutachten nach Art. 44 ATSG , sondern als versicherungsinterner Bericht zu werten ist.</w:t>
      </w:r>
    </w:p>
    <w:p>
      <w:r>
        <w:rPr>
          <w:b/>
        </w:rPr>
        <w:t>E. 3</w:t>
      </w:r>
    </w:p>
    <w:p>
      <w:r>
        <w:t>Die Vorinstanz hat die Bestimmungen und Grundsätze über die beweisrechtlichen Anforderungen an eine ärztliche Stellungnahme ( BGE 134 V 231 E. 5.1 S. 232; 125 V 251 E. 3a S. 352), namentlich bei versicherungsinternen Berichten ( BGE 135 V 465 E. 4.6 S. 471), zutreffend dargelegt. Darauf wird verwiesen.</w:t>
      </w:r>
    </w:p>
    <w:p>
      <w:r>
        <w:rPr>
          <w:b/>
        </w:rPr>
        <w:t>E. 4.1</w:t>
      </w:r>
    </w:p>
    <w:p>
      <w:r>
        <w:t>Die Beschwerdeführerin rügt eine Verletzung des rechtlichen Gehörs, da die Vorinstanz in ihrer Begründung nicht der Meinung von Dr. med. C.________, Fachärztin für Allgemeine Chirurgie, beratende Ärztin der Rechtsschutzversicherung, gefolgt sei, sondern der nicht nachvollziehbaren Ansicht von Dr. med. B.________.</w:t>
      </w:r>
    </w:p>
    <w:p>
      <w:r>
        <w:rPr>
          <w:b/>
        </w:rPr>
        <w:t>E. 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4.3</w:t>
      </w:r>
    </w:p>
    <w:p>
      <w:r>
        <w:t>Die Vorinstanz hat in ihrem Entscheid einlässlich dargelegt, von welchen Überlegungen sie sich hat leiten lassen und aus welchen Gründen sie der Einschätzung von Dr. med. B.________ gefolgt ist. Ob diese Schlussfolgerung richtig ist, ist keine Frage des rechtlichen Gehörs, sondern der materiellen Beurteilung. Der vorinstanzliche Entscheid genügt jedenfalls den Anforderungen von Art. 29 Abs. 2 BV .</w:t>
      </w:r>
    </w:p>
    <w:p>
      <w:r>
        <w:rPr>
          <w:b/>
        </w:rPr>
        <w:t>E. 5</w:t>
      </w:r>
    </w:p>
    <w:p>
      <w:r>
        <w:t>Die Beschwerdeführerin macht weiter eine Verletzung des Untersuchungsgrundsatzes ( Art. 43 Abs. 1 und Art. 61 lit. c ATSG ) geltend. Dabei verlangt sie nicht weitere Abklärungen, sondern rügt sinngemäss die vorinstanzliche Beweiswürdigung.</w:t>
      </w:r>
    </w:p>
    <w:p>
      <w:r>
        <w:t>Zur vorinstanzlichen Begründung, weshalb der Beurteilung von Dr. med. B.________ zu folgen sei und jene von Dr. med. C.________ daran keine auch nur geringe Zweifel zu wecken vermöge, äussert sich die Beschwerdeführerin nicht. Dr. med. C.________ setzte sich denn auch in ihren Berichten vom 2. und 18. Januar 2019 mit der einlässlichen Beurteilung von Dr. med. B.________ vom 27. August 2018 sowie deren ergänzender Stellungnahme vom 26. September 2018 nicht auseinander. Entscheidend ist, dass sich die Schlussfolgerungen der beiden Ärztinnen einzig in der Beurteilung der Zumutbarkeit einer adaptierten Tätigkeit unterscheiden. So hält Dr. med. B.________ in ihrer Stellungnahme vom 12. März 2019 fest, hinsichtlich der von Dr. med. C.________ angeführten Einschränkungen bestehe Übereinstimmung, diese würden sich jedoch bei einer adaptierten Tätigkeit nicht ergeben. Sie nennt denn auch explizit Tätigkeiten, bei welchen die von Dr. med. C.________ genannten Limitierungen nicht zum Tragen kommen würden und welche der Beschwerdeführerin daher ohne Einschränkung der Leistungsfähigkeit zumutbar seien. Zu betonen ist, dass die ärztliche Einschätzung der zumutbaren Arbeitsfähigkeit sowohl bei psychisch als auch bei somatisch dominierten Leiden Ermessenszüge aufweist ( BGE 140 V 193 E. 3.1 S. 194). Nachdem Dr. med. C.________ die Beschwerdeführerin nie selbst untersucht hat und ihr keine zusätzlichen medizinischen Unterlagen zur Verfügung standen, ist nicht ersichtlich, inwiefern ihre auf reiner Aktenkenntnis beruhende Einschätzung überzeugender sein soll resp. Zweifel an jener von Dr. med. B.________ wecken könnte, die sich auf eine ausführliche Auseinandersetzung mit den medizinischen Akten sowie eine umfassende Untersuchung und Befundaufnahme stützen kann.</w:t>
      </w:r>
    </w:p>
    <w:p>
      <w:r>
        <w:t>Nach dem Gesagten ist nicht zu beanstanden, dass die Vorinstanz der Beurteilung von Dr. med. B.________ vollen Beweiswert beimass und jene von Dr. med. C.________ als nicht geeignet erachtete, auch nur geringe Zweifel daran zu wecken. Da die Beschwerdeführerin im Übrigen keine Einwände gegen die vorinstanzliche Invaliditätsbemessung vorbringt, hat es beim kantonalen Entscheid sein Bewenden.</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