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8C_674/2013 vom 20. Februar 2014</w:t>
      </w:r>
    </w:p>
    <w:p>
      <w:r>
        <w:t>Bundesgericht, 2014-02-20, DE</w:t>
      </w:r>
    </w:p>
    <w:p>
      <w:r>
        <w:rPr>
          <w:b/>
        </w:rPr>
        <w:t xml:space="preserve">Quelle: </w:t>
      </w:r>
      <w:r>
        <w:t>https://mcp.opencaselaw.ch/entscheid/bger_8C_674_2013</w:t>
      </w:r>
    </w:p>
    <w:p>
      <w:r>
        <w:t>FR: TF 8C_674/2013 du 20 février 2014</w:t>
      </w:r>
    </w:p>
    <w:p>
      <w:r>
        <w:t>IT: TF 8C_674/2013 del 20 febbraio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 Urteil 9C_431/2013 vom 12. August 2013 E. 1.1 f.).</w:t>
      </w:r>
    </w:p>
    <w:p>
      <w:r>
        <w:rPr>
          <w:b/>
        </w:rPr>
        <w:t>E. 2.1</w:t>
      </w:r>
    </w:p>
    <w:p>
      <w:r>
        <w:t>Im Beschwerdeverfahren vor Bundesgericht gilt Art. 99 Abs. 1 BGG , wonach neue Tatsachen und Beweismittel nur so weit vorgebracht werden dürfen, als erst der Entscheid der Vorinstanz dazu Anlass gibt. Zulässig sind neue Vorbringen, die durch den Entscheid der Vorinstanz rechtswesentlich werden ( BGE 136 III 123 E. 4.4.3 S. 129). Inwiefern die Voraussetzung für ein nachträgliches Vorbringen von Tatsachen und Beweismitteln erfüllt sein soll, ist in der Beschwerde darzutun ( BGE 133 III 393 E. 3 S. 395; 139 III 120 E. 3.1.2 S. 123; Urteil 5A_330/2013 vom 24. September 2013 E. 2.3).</w:t>
      </w:r>
    </w:p>
    <w:p>
      <w:r>
        <w:rPr>
          <w:b/>
        </w:rPr>
        <w:t>E. 2.2</w:t>
      </w:r>
    </w:p>
    <w:p>
      <w:r>
        <w:t>Erstmals vor Bundesgericht macht die Beschwerdeführerin neu geltend, mit Schreiben vom 6. November 2012 seien ihr nicht alle Sanktionen einer anhaltenden Verletzung der Mitwirkungspflicht dargelegt worden, es bestehe "keine Pflicht einer versicherten Person, sich im Einwandverfahren vernehmen zu lassen", und die bei den Akten liegende Telefonnotiz vom 28. Januar 2013 gebe nicht den gesamten Inhalt des betreffenden Telefongespräches wieder. Bei diesen Vorbringen handelt es sich allesamt um unzulässige Noven im Sinne von Art. 99 Abs. 1 BGG , welche hier nicht zu berücksichtigen sind (Urteil 8C_14/2013 vom 20. August 2013 E. 1.3 mit Hinweisen), zumal die Versicherte keine Gründe anführt, inwiefern erst der angefochtene Entscheid den Anlass zu diesen Vorbringen gegeben habe.</w:t>
      </w:r>
    </w:p>
    <w:p>
      <w:r>
        <w:rPr>
          <w:b/>
        </w:rPr>
        <w:t>E. 3</w:t>
      </w:r>
    </w:p>
    <w:p>
      <w:r>
        <w:t>Nach unbestrittener Sachverhaltsfeststellung gemäss angefochtenem Entscheid ersuchte die Beschwerdeführerin die IV-Stelle mit Schreiben vom 30. August 2012 darum, "den Algorithmus, der dem Zufallsprinzip zugrunde" liege, nach welchem die Gutachterstelle ausgewählt worden sei, sowie "die Benennung [des Centers S.________ als Gutachterstelle] mittels Zwischenverfügung zu bestätigen." Die Beschwerdegegnerin erliess die beantragte Zwischenverfügung am 20. September 2012. Die Versicherte erhob hiegegen keine Einwände, weshalb diese Zwischenverfügung unangefochten in Rechtskraft erwuchs. Weiter ist laut vorinstanzlicher Feststellung, welche vor Bundesgericht ebenfalls nicht beanstandet wird, in tatsächlicher Hinsicht davon auszugehen, dass der Beschwerdeführerin nach unbestrittenem Erhalt der ihr mit Einschreibesendung vom 6. November 2012 zugestellten Mitteilung vor dem ersten Begutachtungstermin vom 14. November 2012 "ausreichend Zeit" zur Verfügung stand, "ihr Verhalten nochmals zu überdenken und sich klar darüber zu werden, ob sie die Teilnahme an der zuvor unangefochten gebliebenen und rechtskräftig verfügten Begutachtung weiterhin verweigern wollte".</w:t>
      </w:r>
    </w:p>
    <w:p>
      <w:r>
        <w:rPr>
          <w:b/>
        </w:rPr>
        <w:t>E. 4</w:t>
      </w:r>
    </w:p>
    <w:p>
      <w:r>
        <w:t>Zu prüfen ist, ob das Mahn- und Bedenkzeitverfahren gemäss Art. 43 Abs. 3 ATSG vor Erlass der Verfügung vom 24. Januar 2013 bundesrechtskonform durchgeführt wurde. Die diesbezüglich bereits im kantonalen Verfahren vorgetragene und vor Bundesgericht erneuerte Rüge beschränkt sich im Wesentlichen auf die Behauptung, die IV-Stelle habe es unterlassen, eine Mahnfrist im Sinne von Art. 43 Abs. 3 ATSG anzusetzen.</w:t>
      </w:r>
    </w:p>
    <w:p>
      <w:r>
        <w:rPr>
          <w:b/>
        </w:rPr>
        <w:t>E. 4.1</w:t>
      </w:r>
    </w:p>
    <w:p>
      <w:r>
        <w:t>Vorweg festzuhalten ist, dass keine Anhaltspunkte dafür ersichtlich sind und die Beschwerdeführerin nicht geltend macht, das kantonale Gericht habe den rechtserheblichen Sachverhalt offensichtlich unrichtig oder sonst wie bundesrechtswidrig festgestellt. Sie beruft sich vielmehr ausdrücklich auf die Verbindlichkeit der Sachverhaltsfeststellung gemäss angefochtenem Entscheid. Die Versicherte erhebt - wie erwähnt (E. 3 hievor) - auch keine Einwände gegen die vorinstanzliche Tatsachenfeststellung, wonach ihr im Anschluss an den unbestrittenen Empfang der Einschreibesendung vom 6. November 2012 mit Ankündigung des Mahn- und Bedenkzeitverfahrens vor dem ersten Begutachtungstermin im Center S.________ vom 14. November 2012 ausreichend Zeit zur Verfügung stand, um die für den Fall der Nichtwahrnehmung des Begutachtungstermines angedrohten Sanktionsfolgen gemäss Art. 43 Abs. 3 ATSG überdenken zu können, zumal die Bedenkzeit praxisgemäss nicht lange sein muss (SVR 2005 IV Nr. 30 S. 113, I 605/04 E. 3.2). Schliesslich bestreitet die Beschwerdeführerin auch nicht, dass ihr die am 24. Januar 2013 verfügte Sanktion bereits mit Schreiben vom 6. November 2012 ausdrücklich angedroht worden war für den Fall, dass sie zu den Begutachtungsterminen ab 14. November 2012 nicht erscheinen würde.</w:t>
      </w:r>
    </w:p>
    <w:p>
      <w:r>
        <w:rPr>
          <w:b/>
        </w:rPr>
        <w:t>E. 4.2</w:t>
      </w:r>
    </w:p>
    <w:p>
      <w:r>
        <w:t>Die IV-Stelle gab im Schreiben vom 6. November 2012 den vollständigen Wortlaut von Art. 43 Abs. 3 ATSG wieder und wies unmissverständlich darauf hin, dass die Nichteinhaltung der zwecks Durchführung der rechtskräftig verfügten Begutachtung im Center S.________ angesetzten Untersuchungstermine vom 14. und 26. November sowie 13. Dezember 2012 die ausdrücklich angedrohte Sanktion zur Folge habe. Dass die Versicherte nach dem Gesagten in Bezug auf das am 6. November 2012 unbestritten eingeleitete Mahn- und Bedenkzeitverfahren ernsthaft die Ansetzung einer Bedenkfrist in Abrede stellt, ist nicht nachvollziehbar. Die durch den bekannten Endtermin - nämlich den Zeitpunkt der ersten Untersuchung im Center S.________ am 14. November 2012 - hinreichend bestimmte (vgl. Pra 2001 Nr. 31 S. 197, 4C.22/2000 E. 2.a mit Hinweisen) Frist bedurfte keiner weiteren Erläuterung. Ist die durch den Endtermin fixierte Frist hinreichend bestimmt, entspricht es einer "logischen Selbstverständlichkeit", dass die fristgerechte Erfüllung noch am letzten Tag der Frist möglich ist ( URS LEU, in: Honsell/Vogt/Wiegand [Hrsg.], BSK, Obligationenrecht I, 5. Aufl. 2011, N. 3 zu Art. 77 OR ). Daran ändert nichts, auch wenn das kantonale Gericht die Auffassung vertrat, die Beschwerdegegnerin habe eine Frist nicht ausdrücklich angesetzt, hat es doch - unbestritten - festgestellt, dass der Beschwerdeführerin vor dem ersten Begutachtungstermin vom 14. November 2012 eine "angemessene Bedenkzeit gemäss Art. 43 Abs. 3 ATSG " zur Verfügung stand.</w:t>
      </w:r>
    </w:p>
    <w:p>
      <w:r>
        <w:rPr>
          <w:b/>
        </w:rPr>
        <w:t>E. 5</w:t>
      </w:r>
    </w:p>
    <w:p>
      <w:r>
        <w:t>Die im Sinne von Art. 109 Abs. 2 lit. a BGG offensichtlich unbegründete Beschwerde ist im vereinfachten Verfahren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