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8C_673/2022 vom 22. Februar 2023</w:t>
      </w:r>
    </w:p>
    <w:p>
      <w:r>
        <w:t>Bundesgericht, 2023-02-22, DE</w:t>
      </w:r>
    </w:p>
    <w:p>
      <w:r>
        <w:rPr>
          <w:b/>
        </w:rPr>
        <w:t xml:space="preserve">Quelle: </w:t>
      </w:r>
      <w:r>
        <w:t>https://mcp.opencaselaw.ch/entscheid/bger_8C_673_2022</w:t>
      </w:r>
    </w:p>
    <w:p>
      <w:r>
        <w:t>FR: TF 8C_673/2022 du 22 février 2023</w:t>
      </w:r>
    </w:p>
    <w:p>
      <w:r>
        <w:t>IT: TF 8C_673/2022 del 22 febbraio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Bundesgericht prüft die Eintretensvoraussetzungen von Amtes wegen und mit freier Kognition ( Art. 29 Abs. 1 BGG ; BGE 145 V 57 E. 1 mit Hinweisen).</w:t>
      </w:r>
    </w:p>
    <w:p>
      <w:r>
        <w:rPr>
          <w:b/>
        </w:rPr>
        <w:t>E. 1.2</w:t>
      </w:r>
    </w:p>
    <w:p>
      <w:r>
        <w:t>Vor dem kantonalen Gericht verlangte die IV-Stelle mit Eingabe vom 4. April 2022, der Beschwerdegegnerin sei ab 1. Oktober 2016 eine ganze Invalidenrente zuzusprechen. Die Vorinstanz hat in diesem Sinne entschieden.</w:t>
      </w:r>
    </w:p>
    <w:p>
      <w:r>
        <w:t>Vor Bundesgericht beantragt die IV-Stelle, das kantonale Urteil sei dahingehend abzuändern, dass A.________ erst ab 1. Juli 2018 Anspruch auf eine ganze Invalidenrente habe. Damit fordert die IV-Stelle die Zusprache einer Invalidenrente von geringerem Ausmass als sie selbst im kantonalen Verfahren anbegehrt hat. Dies ist unzulässig ( Art. 99 Abs. 2 BGG ; BGE 138 V 339 E. 2.3.3, 136 V 362 E. 4.2; SVR 2022 UV Nr. 42 S. 169, 8C_444/2021 E. 1.3; Urteil 8C_236/2022 vom 4. Oktober 2022 E. 2.3 i.f. mit Hinweis), woran das - im Übrigen nicht eigens begründete - Eventualbegehren nichts ändert. Auf die Beschwerde ist somit nicht einzutreten.</w:t>
      </w:r>
    </w:p>
    <w:p>
      <w:r>
        <w:rPr>
          <w:b/>
        </w:rPr>
        <w:t>E. 2</w:t>
      </w:r>
    </w:p>
    <w:p>
      <w:r>
        <w:t>Mit dem Urteil in der Sache wird das Gesuch der IV-Stelle um aufschiebende Wirkung der Beschwerde gegenstandslos.</w:t>
      </w:r>
    </w:p>
    <w:p>
      <w:r>
        <w:rPr>
          <w:b/>
        </w:rPr>
        <w:t>E. 3</w:t>
      </w:r>
    </w:p>
    <w:p>
      <w:r>
        <w:t>Die unterliegende IV-Stelle trägt die Verfahrenskosten ( Art. 66 Abs. 1 BGG ). Sie hat der Beschwerdegegnerin eine Parteientschädigung auszurichten ( Art. 68 Abs. 2 BGG ). Das Gesuch der Beschwerdegegnerin um Gewährung der unentgeltlichen Rechtspflege ist somit gegenstandslos.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