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8C_672/2021 vom 25. Oktober 2021</w:t>
      </w:r>
    </w:p>
    <w:p>
      <w:r>
        <w:t>Bundesgericht, 2021-10-25, DE</w:t>
      </w:r>
    </w:p>
    <w:p>
      <w:r>
        <w:rPr>
          <w:b/>
        </w:rPr>
        <w:t xml:space="preserve">Quelle: </w:t>
      </w:r>
      <w:r>
        <w:t>https://mcp.opencaselaw.ch/entscheid/bger_8C_672_2021</w:t>
      </w:r>
    </w:p>
    <w:p>
      <w:r>
        <w:t>FR: TF 8C_672/2021 du 25 octobre 2021</w:t>
      </w:r>
    </w:p>
    <w:p>
      <w:r>
        <w:t>IT: TF 8C_672/2021 del 25 ottobre 2021</w:t>
      </w:r>
    </w:p>
    <w:p>
      <w:pPr>
        <w:pStyle w:val="Heading2"/>
      </w:pPr>
      <w:r>
        <w:t>Volltext</w:t>
      </w:r>
    </w:p>
    <w:p>
      <w:r>
        <w:t>Bundesgericht</w:t>
      </w:r>
    </w:p>
    <w:p>
      <w:r>
        <w:t>Tribunal fédéral</w:t>
      </w:r>
    </w:p>
    <w:p>
      <w:r>
        <w:t>Tribunale federale</w:t>
      </w:r>
    </w:p>
    <w:p>
      <w:r>
        <w:t>Tribunal federal</w:t>
      </w:r>
    </w:p>
    <w:p>
      <w:r>
        <w:t>8C_672/2021</w:t>
      </w:r>
    </w:p>
    <w:p>
      <w:r>
        <w:t>Urteil vom 25. Oktober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Kantonsgerichts Luzern vom 2. September 2021 (5V 21 73).</w:t>
      </w:r>
    </w:p>
    <w:p>
      <w:r>
        <w:t>Nach Einsicht</w:t>
      </w:r>
    </w:p>
    <w:p>
      <w:r>
        <w:t>in die Beschwerde vom 4. Oktober 2021 (Poststempel) gegen das Urteil des Kantonsgerichts Luzern vom 2. September 2021,</w:t>
      </w:r>
    </w:p>
    <w:p>
      <w:r>
        <w:t>in die Mitteilung des Bundesgerichts vom 5. Oktober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8. Oktober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in einlässlicher Würdigung der Parteivorbringen und der ins Recht gelegten Beweismittel eine über den 31. Juli 2020 hinausgehende Leistungspflicht der Beschwerdegegnerin für die rechtsseitige Fussschädigung verneinte, weil</w:t>
      </w:r>
    </w:p>
    <w:p>
      <w:r>
        <w:t>- a) spätestens ab diesem Zeitpunkt von einem medizinischen Endzustand auszugehen sei, und</w:t>
      </w:r>
    </w:p>
    <w:p>
      <w:r>
        <w:t>- b) der Beschwerdeführer in einer dem unfallbedingten Leiden angepassten Tätigkeit bei ausgeglichener Arbeitsmarktlage ein rentenausschliessendes Einkommen erzielen könnte,</w:t>
      </w:r>
    </w:p>
    <w:p>
      <w:r>
        <w:t>dass es insbesondere näher ausführte, weshalb im Rahmen der Invaliditätsbemessung nicht auf den Verdienstausfall bei der tatsächlich ausgeübten Tätigkeit abzustellen sei, sondern darauf, was der Beschwerdeführer bei ausgeglichener Arbeitsmarktlage in einer dem unfallbedingten Leiden angepassten Arbeit hypothetisch erwirtschaften könnte,</w:t>
      </w:r>
    </w:p>
    <w:p>
      <w:r>
        <w:t>dass der Beschwerdeführer die vorinstanzliche Bemessung des hypothetischen Einkommens als Invalider pauschal als realitätsfremd, seinen Nachteil gegenüber einem Gesunden nicht hinreichend Rechnung tragend rügt und eine eigene Berechnung aufstellt; inwiefern aber das vorinstanzliche Abstellen auf den statistisch ausgewiesenen monatlichen Durchschnittslohn männlicher Arbeitskräfte im privaten Sektor für Tätigkeiten im Kompetenzniveau 1 (Einfache Tätigkeiten körperlicher oder handwerklicher Art) wie auch der Verzicht auf einen Leidensabzug rechtsfehlerhaft sein soll, legt er nicht dar,</w:t>
      </w:r>
    </w:p>
    <w:p>
      <w:r>
        <w:t>dass damit den Mindestanforderungen nach Art. 42 Abs. 2 BGG offensichtlich nicht genüge getan ist,</w:t>
      </w:r>
    </w:p>
    <w:p>
      <w:r>
        <w:t>dass dies zu einem Nichteintreten auf die Beschwerde im vereinfachten Verfahren nach Art. 108 Abs. 1 lit. b BGG führt,</w:t>
      </w:r>
    </w:p>
    <w:p>
      <w:r>
        <w:t>dass die Beschwerdeschrift im Übrigen nicht rechtsgültig unterzeichnet ist ( Art. 42 Abs. 1 BGG ),</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Gesundheit schriftlich mitgeteilt.</w:t>
      </w:r>
    </w:p>
    <w:p>
      <w:r>
        <w:t>Luzern, 25.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