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8C_672/2015 vom 19. Mai 2016</w:t>
      </w:r>
    </w:p>
    <w:p>
      <w:r>
        <w:t>Bundesgericht, 2016-05-19, FR</w:t>
      </w:r>
    </w:p>
    <w:p>
      <w:r>
        <w:rPr>
          <w:b/>
        </w:rPr>
        <w:t xml:space="preserve">Quelle: </w:t>
      </w:r>
      <w:r>
        <w:t>https://mcp.opencaselaw.ch/entscheid/bger_8C_672_2015</w:t>
      </w:r>
    </w:p>
    <w:p>
      <w:r>
        <w:t>FR: TF 8C_672/2015 du 19 mai 2016</w:t>
      </w:r>
    </w:p>
    <w:p>
      <w:r>
        <w:t>IT: TF 8C_672/2015 del 19 maggio 2016</w:t>
      </w:r>
    </w:p>
    <w:p>
      <w:pPr>
        <w:pStyle w:val="Heading2"/>
      </w:pPr>
      <w:r>
        <w:t>Erwägungen</w:t>
      </w:r>
    </w:p>
    <w:p>
      <w:r>
        <w:rPr>
          <w:b/>
        </w:rPr>
        <w:t>E. 1.1</w:t>
      </w:r>
    </w:p>
    <w:p>
      <w:r>
        <w:t>La cour cantonale a tranché le litige par deux prononcés. Par son jugement du 17 mars 2014, elle a constaté que la résiliation des rapports de travail signifiée par l'intimée le 13 juillet 2012 était entachée d'un vice du consentement et que celle-ci était en droit de la révoquer, ce qu'elle avait fait valablement par son écriture du 10 septembre 2012. Dans la mesure où le recourant n'avait pas accepté la révocation de la démission, cela équivalait à une résiliation abusive, ouvrant droit à une indemnité. Aussi la cour cantonale a-t-elle proposé aux parties de discuter un règlement transactionnel au sujet de cette indemnité. Celles-ci n'étant toutefois pas parvenues à s'entendre sur ce point, la juridiction cantonale a rendu un second jugement, le 30 juillet 2015, par lequel elle a condamné le recourant à payer à l'intimée une indemnité correspondant à six mois de salaire brut.</w:t>
      </w:r>
    </w:p>
    <w:p>
      <w:r>
        <w:t>Le jugement du 17 mars 2014 constitue une décision incidente, contre laquelle le recourant n'était pas tenu de recourir séparément. En revanche, celui-ci peut l'attaquer par le présent recours dirigé contre le jugement final rendu le 30 juillet 2015 ( art. 93 al. 3 LTF ).</w:t>
      </w:r>
    </w:p>
    <w:p>
      <w:r>
        <w:rPr>
          <w:b/>
        </w:rPr>
        <w:t>E. 1.2</w:t>
      </w:r>
    </w:p>
    <w:p>
      <w:r>
        <w:t>La présente cause est une contestation pécuniaire en matière de rapports de travail de droit public, qui ne tombe pas sous le coup de l'exception de l' art. 83 let . g LTF. Quant au seuil de la valeur litigieuse de 15'000 fr. ( art. 85 al. 1 let. b LTF ), il est atteint.</w:t>
      </w:r>
    </w:p>
    <w:p>
      <w:r>
        <w:t>Le Centre A.________ est particulièrement atteint par la décision attaquée, au sens de l' art. 89 al. 1 LTF (qui s'applique en principe au recours des particuliers, mais peut, à certaines conditions réalisées en l'espèce, s'appliquer à un établissement de droit public ou une collectivité publique, touchés de façon analogue à un employeur privé [cf. ATF 134 I 204 consid. 2.3 p. 207]). Le jugement entrepris condamne le recourant à payer une indemnité pour résiliation abusive des rapports de travail, de sorte que l'intéressé a un intérêt digne de protection à son annulation.</w:t>
      </w:r>
    </w:p>
    <w:p>
      <w:r>
        <w:t>Pour le surplus, déposé en temps utile et dans les formes requises, le recours est recevable au regard des art. 42, 90 et 100 al. 1 LTF .</w:t>
      </w:r>
    </w:p>
    <w:p>
      <w:r>
        <w:rPr>
          <w:b/>
        </w:rPr>
        <w:t>E. 2.1</w:t>
      </w:r>
    </w:p>
    <w:p>
      <w:r>
        <w:t>Le jugement attaqué repose sur la Convention collective de travail du secteur de la santé du canton de Neuchâtel, version droit public, 2008 - 2012 (ci-après: CCT Santé21), à laquelle était soumis le contrat de travail liant le recourant à l'intimée. Les art. 3 ss CCT Santé21 traitent de la fin des rapports de travail et l'art. 3.5 al. 4 déclare notamment applicables, à titre supplétif, les art. 336 à 336b CO (résiliation abusive). Ces dispositions s'appliquent donc à titre de droit cantonal supplétif ( ATF 138 I 232 consid. 2.4 p. 236; 126 III 370 consid. 5 p. 372; 118 II 213 consid. 4 p. 220 et les références).</w:t>
      </w:r>
    </w:p>
    <w:p>
      <w:r>
        <w:rPr>
          <w:b/>
        </w:rPr>
        <w:t>E. 2.2</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En outre, il ne suffit pas que les motifs de la décision critiquée soient insoutenables, encore faut-il que cette dernière soit arbitraire dans son résultat ( ATF 140 III 167 consid. 2.1 précité).</w:t>
      </w:r>
    </w:p>
    <w:p>
      <w:r>
        <w:t>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p. 387; 138 V 67 consid. 2.2 p. 69).</w:t>
      </w:r>
    </w:p>
    <w:p>
      <w:r>
        <w:rPr>
          <w:b/>
        </w:rPr>
        <w:t>E. 3.1</w:t>
      </w:r>
    </w:p>
    <w:p>
      <w:r>
        <w:t>La cour cantonale a constaté que l'entretien du 13 juillet 2012 entre l'intimée, le directeur général du Centre A.________ et le directeur des ressources humaines n'avait pas pour but, à l'origine, de faire part à l'intéressée des griefs de son employeur au sujet de la gestion de son temps de travail et de l'utilisation prétendument erronée du système de timbrage. Lors de cet entretien - lequel n'a pas fait l'objet d'un procès-verbal -, les représentants de l'employeur ont exercé une pression sur l'intéressée en lui faisant part de leur intention d'ouvrir une procédure administrative au sujet des griefs invoqués, tout en indiquant qu'elle pouvait éviter une telle procédure en donnant sa démission pour le 31 août 2012. Du moment que l'intimée n'avait jamais fait l'objet du moindre reproche en ce qui concerne la gestion de son temps de travail et l'usage du système de timbrage, le soupçon d'une faute grave justifiant l'ouverture d'une procédure administrative apparaissait inconsistant. En outre, en taisant à l'intéressée l'obligation imposée par la loi de lui notifier un avertissement formel, l'employeur ne lui a pas laissé le choix de démissionner en toute connaissance de cause.</w:t>
      </w:r>
    </w:p>
    <w:p>
      <w:r>
        <w:rPr>
          <w:b/>
        </w:rPr>
        <w:t>E. 3.2</w:t>
      </w:r>
    </w:p>
    <w:p>
      <w:r>
        <w:t>Le recourant n'expose pas en quoi ces constatations de fait ont été établies de façon manifestement inexacte. Il ne conteste ni la teneur de l'entretien dans ses grandes lignes ni le fait que l'intimée ne s'est pas vu impartir un délai pour se déterminer. L'impression qui prévaut est bien plutôt que l'entretien avait pour seul but d'inciter l'intéressée à remettre sa démission, ce qu'effectivement elle a fait. Le déroulement des faits - qui n'est pas remis en cause par le recourant - tend d'ailleurs à confirmer cette impression. Cela étant, on ne saurait voir aucune violation d'un droit fondamental dans les conclusions de la cour cantonale, selon lesquelles la résiliation des rapports de travail signifiée par l'intimée le 13 juillet 2012 était entachée d'un vice du consentement, lequel l'autorisait à la révoquer. En tout cas, ce point de vue ne procède pas d'une application arbitraire du droit.</w:t>
      </w:r>
    </w:p>
    <w:p>
      <w:r>
        <w:rPr>
          <w:b/>
        </w:rPr>
        <w:t>E. 3.3</w:t>
      </w:r>
    </w:p>
    <w:p>
      <w:r>
        <w:t>Il en va de même en ce qui concerne l'appréciation juridique par la cour cantonale, en tant que celle-ci a retenu, en substance, une résiliation abusive du contrat de travail par l'employeur, lequel avait rejeté la proposition de l'intimée de reprendre son activité postérieurement à la révocation de sa démission. Lorsque la démission d'une salariée est entachée d'un vice du consentement qui autorise celle-ci à la révoquer, les rapports de travail doivent se poursuivre dans la mesure où une telle démission ne peut déployer d'effet. Si, dans cette situation, l'employeur ne satisfait pas à son obligation de continuer à employer la personne concernée, cela équivaut en substance à une résiliation abusive qui n'est pas acceptable.</w:t>
      </w:r>
    </w:p>
    <w:p>
      <w:r>
        <w:rPr>
          <w:b/>
        </w:rPr>
        <w:t>E. 3.4</w:t>
      </w:r>
    </w:p>
    <w:p>
      <w:r>
        <w:t>Quant à l'indemnité correspondant à six mois de salaire brut allouée à l'intimée, elle apparaît certes généreuse au regard de la durée des rapports de travail. Toutefois, le recourant ne démontre pas à satisfaction de droit (art. 42 al. 2 en liaison avec l' art. 106 al. 2 LTF ) en quoi la cour cantonale aurait abusé de son pouvoir d'appréciation de manière contraire au droit (cf. ATF 137 V 71 consid. 5.1 p. 72 s.; 132 V 393 consid. 3.3 p. 399).</w:t>
      </w:r>
    </w:p>
    <w:p>
      <w:r>
        <w:rPr>
          <w:b/>
        </w:rPr>
        <w:t>E. 3.5</w:t>
      </w:r>
    </w:p>
    <w:p>
      <w:r>
        <w:t>Cela étant, il n'y a pas de motif de s'écarter du jugement entrepris, sans qu'il soit nécessaire d'ordonner un complément d'instruction, comme le demande le recourant. Le recours se révèle ainsi mal fondé.</w:t>
      </w:r>
    </w:p>
    <w:p>
      <w:r>
        <w:rPr>
          <w:b/>
        </w:rPr>
        <w:t>E. 4</w:t>
      </w:r>
    </w:p>
    <w:p>
      <w:r>
        <w:t>Vu l'issue du litige, l'intimée, représentée par un avocat a droit à des dépens à la charge du recourant ( art. 68 al. 1 et 2 LTF ). Par ailleurs, celui-ci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