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672/2013 vom 20. Februar 2014</w:t>
      </w:r>
    </w:p>
    <w:p>
      <w:r>
        <w:t>Bundesgericht, 2014-02-20, DE</w:t>
      </w:r>
    </w:p>
    <w:p>
      <w:r>
        <w:rPr>
          <w:b/>
        </w:rPr>
        <w:t xml:space="preserve">Quelle: </w:t>
      </w:r>
      <w:r>
        <w:t>https://mcp.opencaselaw.ch/entscheid/bger_8C_672_2013</w:t>
      </w:r>
    </w:p>
    <w:p>
      <w:r>
        <w:t>FR: TF 8C 672/2013 du 20 février 2014</w:t>
      </w:r>
    </w:p>
    <w:p>
      <w:r>
        <w:t>IT: TF 8C 672/2013 del 20 febbraio 2014</w:t>
      </w:r>
    </w:p>
    <w:p>
      <w:pPr>
        <w:pStyle w:val="Heading2"/>
      </w:pPr>
      <w:r>
        <w:t>Regeste</w:t>
      </w:r>
    </w:p>
    <w:p>
      <w:r>
        <w:t>Invalidenversicherung (Invalidenrente; Invalidenlohn)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Vor Bundesgericht ist im Rahmen der Bemessung des Invaliditätsgrades nur noch das Einkommen strittig, das die Versicherte trotz ihrer gesundheitlichen Beeinträchtigungen zumutbarerweise verdienen könnte (Invalideneinkommen). Dabei ist einzig zu prüfen, ob das kantonale Gericht bei der Ermittlung des Invalideneinkommens anhand der Durchschnittslöhne gemäss Tabelle TA1 (monatlicher Bruttolohn [Zentralwert] nach Wirtschaftsabteilungen, Anforderungsniveau des Arbeitsplatzes und Geschlecht - Privater Sektor) der vom Bundesamt für Statistik alle zwei Jahre erstellten Schweizerischen Lohnstrukturerhebung (LSE) Bundesrecht verletzte, indem es keinen leidensbedingten Abzug ( BGE 126 V 75 ) vornahm. Die Beschwerdeführerin verlangt einen maximalen Abzug von 25 %.</w:t>
      </w:r>
    </w:p>
    <w:p>
      <w:r>
        <w:rPr>
          <w:b/>
        </w:rPr>
        <w:t>E. 2.1</w:t>
      </w:r>
    </w:p>
    <w:p>
      <w:r>
        <w:t>Wird das Invalideneinkommen - wie hier -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w:t>
      </w:r>
    </w:p>
    <w:p>
      <w:r>
        <w:rPr>
          <w:b/>
        </w:rPr>
        <w:t>E. 2.2</w:t>
      </w:r>
    </w:p>
    <w:p>
      <w:r>
        <w:t>Die Frage, ob eine Herabsetzung des statistischen Lohnes wegen besonderer Umstände (aufgrund der Behinderung der versicherten Person oder aus anderen Gründen) angezeigt ist, ist eine vom Bundesgericht frei überprüfbare Rechtsfrage. Demgegenüber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137 V 71 E. 5.1 S. 72 f.).</w:t>
      </w:r>
    </w:p>
    <w:p>
      <w:r>
        <w:rPr>
          <w:b/>
        </w:rPr>
        <w:t>E. 3.1</w:t>
      </w:r>
    </w:p>
    <w:p>
      <w:r>
        <w:t>Nach der verbindlichen Feststellung der Vorinstanz ist zur Beurteilung der funktionellen Leistungsfähigkeit auf das von der IV-Stelle in Auftrag gegebene Gutachten des Dr. med. P.________, Facharzt für Psychiatrie und Psychotherapie FMH, vom 18. Juli 2011 abzustellen. Demnach leidet die Beschwerdeführerin an einer schweren Zwangsstörung mit Zwangsgedanken und -handlungen, gemischt (ICD-10 F42.2), bestehend seit der Pubertät, einem seit mindestens 25 Jahren bestehenden Alkoholmissbrauch (ICD-10 F33.4) und rezidivierenden depressiven Störungen, gegenwärtig remittiert (ICD-10 F33.4), bestehend seit mindestens 2004. Sie arbeitet während 8 bis 12 Stunden in der Woche als Pflege- und Haushaltshilfe. Gemäss Gutachten ist der Versicherten höchstens eine 50%ige Präsenz am Arbeitsplatz zumutbar, wobei in dieser Zeit mit einer Leistung von 40 bis 50 % zu rechnen ist. Das kantonale Gericht bezifferte die der Invaliditätsbemessung zugrunde zu legende Arbeitsfähigkeit in der aktuell ausgeübten wie in jeder anderen ihren Fähigkeiten angepassten Tätigkeit mit 27,5 %.</w:t>
      </w:r>
    </w:p>
    <w:p>
      <w:r>
        <w:rPr>
          <w:b/>
        </w:rPr>
        <w:t>E. 3.2</w:t>
      </w:r>
    </w:p>
    <w:p>
      <w:r>
        <w:t>Die Vorinstanz verweigerte bei dieser Ausgangslage einen Leidensabzug bei der Bemessung des Invalideneinkommens. Die Tatsache, dass neben einem reduzierten Pensum auch noch ein vermindertes Rendement resultiere, werde bereits bei der Höhe der zumutbaren Arbeitsfähigkeit berücksichtigt und dürfe nicht zwei mal in die Berechnung einfliessen. Weitere Gründe für einen Abzug vom Durchschnittslohn beständen nicht.</w:t>
      </w:r>
    </w:p>
    <w:p>
      <w:r>
        <w:rPr>
          <w:b/>
        </w:rPr>
        <w:t>E. 3.3</w:t>
      </w:r>
    </w:p>
    <w:p>
      <w:r>
        <w:t>Die Beschwerdeführerin lässt an sich zu Recht vorbringen, die Frage der Herabsetzung der Tabellenlöhne hänge von sämtlichen persönlichen und beruflichen Umständen ab. Hingegen kann ihrer Argumentation, wonach von einem erhöhten Krankheitsrisiko und damit verbunden von künftigen Arbeitsausfällen und besonderer Rücksichtnahme von Seiten eines Arbeitgebers auszugehen sei, was sich auf das Lohnniveau auswirke, nicht gefolgt werden. Gemäss Gutachten des Dr. med. P.________ besteht kein erhöhtes Krankheitsrisiko, wenn die zumutbare Präsenz am Arbeitsplatz von 50 % nicht überschritten wird. Mit dem im angefochtenen Entscheid berücksichtigten Rendement von 45 % im Rahmen eines halben Pensums werden die weiteren von der Beschwerdeführerin geltend gemachten Reduktionsgründe hinreichend berücksichtigt. So wirkt sich das fortgeschrittene Alter im Bereich der Hilfsarbeiten auf dem hypothetisch ausgeglichenen Arbeitsmarkt grundsätzlich nicht zwingend lohnsenkend aus (vgl. Urteile 9C_455/2013 vom 4. Oktober 2013 E. 4.2, 8C_372/2012 vom 13. Juni 2013 E. 4.2, 8C_498/2012 vom 6. September 2012 E. 3.1, 9C_128/2012 vom 15. März 2012 E. 4.2, 8C_190/2010 vom 19. März 2010 E. 3.4). Zu berücksichtigen ist indessen ein Abzug für das Teilzeitpensum. Eine Arbeitsfähigkeit von bloss 27,5 %, bei der aber eine Präsenz von 50 % eines üblichen Pensums vorausgesetzt ist und damit ein entsprechender Arbeitsplatz besetzt wird, wirkt sich zweifellos lohnreduzierend aus. Wie hoch der Abzug zu beziffern ist, kann indessen offen gelassen werden, da jedenfalls nicht der maximale Wert von 25 % gerechtfertigt ist. Nur ein solcher würde aber den Anspruch auf eine ganze Rente begründen. Der angefochtene Entscheid erweist sich daher im Ergebnis als bundesrechtskonform.</w:t>
      </w:r>
    </w:p>
    <w:p>
      <w:r>
        <w:rPr>
          <w:b/>
        </w:rPr>
        <w:t>E. 4</w:t>
      </w:r>
    </w:p>
    <w:p>
      <w:r>
        <w:t>Bei diesem Ausgang des Verfahrens hat die Beschwerdeführerin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