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8C_671/2024 vom 21. November 2024</w:t>
      </w:r>
    </w:p>
    <w:p>
      <w:r>
        <w:t>Bundesgericht, 2024-11-21, DE</w:t>
      </w:r>
    </w:p>
    <w:p>
      <w:r>
        <w:rPr>
          <w:b/>
        </w:rPr>
        <w:t xml:space="preserve">Quelle: </w:t>
      </w:r>
      <w:r>
        <w:t>https://mcp.opencaselaw.ch/entscheid/bger_8C_671_2024</w:t>
      </w:r>
    </w:p>
    <w:p>
      <w:r>
        <w:t>FR: TF 8C_671/2024 du 21 novembre 2024</w:t>
      </w:r>
    </w:p>
    <w:p>
      <w:r>
        <w:t>IT: TF 8C_671/2024 del 21 novembre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23. September 2024 den Einspracheentscheid der Beschwerdegegnerin vom 18. April 2024, mit welcher sie auf die gegen die Verfügung vom 9. Februar 2024 erhobene Einsprache, weil verspätet, nicht eintrat. Dabei legte es in Auseinandersetzung mit den Parteivorbringen und in Würdigung der Akten dar, weshalb die E-Mail vom 12. Februar 2024 keine Reaktion auf die Verfügung vom 9. Februar 2024 darstellen könne. Weiter erwog die Vorinstanz, statt dessen sei davon auszugehen, dass die Verfügung kurze Zeit danach zur Kenntnis genommen worden sei. Damit sei die am 12. April 2024 telefonisch bzw. per E-Mail erfolgte Einsprache ausserhalb der Einsprachefrist von 30 Tagen erhoben worden.</w:t>
      </w:r>
    </w:p>
    <w:p>
      <w:r>
        <w:rPr>
          <w:b/>
        </w:rPr>
        <w:t>E. 3</w:t>
      </w:r>
    </w:p>
    <w:p>
      <w:r>
        <w:t>Die Beschwerdeführerin zeigt nicht auf, inwieweit die von der Vorinstanz in diesem Zusammenhang getroffenen Sachverhaltsfeststellungen offensichtlich unrichtig im Sinne von Art. 97 Abs. 1 BGG , das heisst willkürlich ( BGE 146 IV 88 E. 1.3.1 f.; 140 III 115 E. 2; je mit Hinweisen) sein könnten. Genauso wenig legt sie dar, inwiefern die darauf beruhenden Erwägungen gegen Bundesrecht verstossen oder einen anderen Beschwerdegrund (vgl. Art. 95 lit. a-e BGG ) gesetzt haben sollen. Allein den Geschehensablauf aus eigener Sicht zu schildern, reicht genauso wenig aus, wie das Fehlen einer Reaktion von Seiten der Beschwerdegegnerin auf die E-Mail vom 12. Februar 2024 hin zu bemängeln. Inwieweit Letzteres für die Frage der fristgerechten Einspracheerhebung von Belang sein soll, wird nicht ausgeführt, zumal die E-Mail gemäss unzureichend beanstandeter und damit verbindlicher vorinstanzlicher Feststellung bereits versendet worden war, als die Verfügung vom 9. Februar 2024 zur Kenntnis genommen wurde.</w:t>
      </w:r>
    </w:p>
    <w:p>
      <w:r>
        <w:rPr>
          <w:b/>
        </w:rPr>
        <w:t>E. 4</w:t>
      </w:r>
    </w:p>
    <w:p>
      <w:r>
        <w:t>Liegt offensichtlich keine hinreichend begründete Beschwerde vor,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