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8C_66/2018 vom 1. Februar 2018</w:t>
      </w:r>
    </w:p>
    <w:p>
      <w:r>
        <w:t>Bundesgericht, 2018-02-01, DE</w:t>
      </w:r>
    </w:p>
    <w:p>
      <w:r>
        <w:rPr>
          <w:b/>
        </w:rPr>
        <w:t xml:space="preserve">Quelle: </w:t>
      </w:r>
      <w:r>
        <w:t>https://mcp.opencaselaw.ch/entscheid/bger_8C_66_2018</w:t>
      </w:r>
    </w:p>
    <w:p>
      <w:r>
        <w:t>FR: TF 8C_66/2018 du 1 février 2018</w:t>
      </w:r>
    </w:p>
    <w:p>
      <w:r>
        <w:t>IT: TF 8C_66/2018 del 1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8C_66/2018</w:t>
      </w:r>
    </w:p>
    <w:p>
      <w:r>
        <w:t>Urteil vom 1. Februar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 vom 8. September 2017 (IV.2016.00857).</w:t>
      </w:r>
    </w:p>
    <w:p>
      <w:r>
        <w:t>Nach Einsicht</w:t>
      </w:r>
    </w:p>
    <w:p>
      <w:r>
        <w:t>in die Beschwerde vom 22. Januar 2018 (Poststempel) gegen den gemäss postamtlicher Bescheinigung am 22. November 2017 an den damaligen Rechtsvertreter von A.________ ausgehändigten Entscheid des Sozialversicherungsgerichts des Kantons Zürich vom 8. September 2017,</w:t>
      </w:r>
    </w:p>
    <w:p>
      <w:r>
        <w:t>in Erwägung,</w:t>
      </w:r>
    </w:p>
    <w:p>
      <w:r>
        <w:t>dass die Beschwerde nicht innert der nach Art. 100 Abs. 1 BGG 30-tägigen, gemäss Art. 44 - 48 BGG am 8. Januar 2018 abgelaufenen, Rechtsmittelfrist eingereicht worden ist,</w:t>
      </w:r>
    </w:p>
    <w:p>
      <w:r>
        <w:t>dass deshalb im vereinfachten Verfahren nach Art. 108 Abs. 1 lit. a BGG auf die ohnehin auch nicht den Mindestanforderungen nach Art. 42 Abs. 2 BGG genügenden Beschwerde nicht einzutreten ist,</w:t>
      </w:r>
    </w:p>
    <w:p>
      <w:r>
        <w:t>dass es der Beschwerdeführerin im Übrigen freigestellt ist, bei der zuständigen IV-Stelle um berufliche Eingliederungsmassnahmen wie etwa Arbeitsvermittlung zu ersuchen,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1. Februar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