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66/2011 vom 29. August 2011</w:t>
      </w:r>
    </w:p>
    <w:p>
      <w:r>
        <w:t>Bundesgericht, 2011-08-29, DE</w:t>
      </w:r>
    </w:p>
    <w:p>
      <w:r>
        <w:rPr>
          <w:b/>
        </w:rPr>
        <w:t xml:space="preserve">Quelle: </w:t>
      </w:r>
      <w:r>
        <w:t>https://mcp.opencaselaw.ch/entscheid/bger_8C_66_2011</w:t>
      </w:r>
    </w:p>
    <w:p>
      <w:r>
        <w:t>FR: TF 8C 66/2011 du 29 août 2011</w:t>
      </w:r>
    </w:p>
    <w:p>
      <w:r>
        <w:t>IT: TF 8C 66/2011 del 29 agosto 2011</w:t>
      </w:r>
    </w:p>
    <w:p>
      <w:pPr>
        <w:pStyle w:val="Heading2"/>
      </w:pPr>
      <w:r>
        <w:t>Regeste</w:t>
      </w:r>
    </w:p>
    <w:p>
      <w:r>
        <w:t>Arbeitslosenversicherung (Insolvenzentschädigung)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2.1</w:t>
      </w:r>
    </w:p>
    <w:p>
      <w:r>
        <w:t>Im vorinstanzlichen Entscheid werden die gesetzlichen Bestimmungen über den Anspruch auf Insolvenzentschädigung ( Art. 51 Abs. 1 AVIG ), den Umfang des Anspruchs ( Art. 52 Abs. 1 AVIG ) sowie über die Pflichten des Arbeitnehmers im Konkurs- oder Pfändungsverfahren ( Art. 55 Abs. 1 AVIG ; BGE 114 V 56 E. 3d S. 59; ARV 2002 Nr. 8 S. 62 ff. und Nr. 30 S. 190 ff., 1999 Nr. 24 S. 140 ff.)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ff.). Die Vorinstanz hat dabei richtig festgehalten, auch eine ursprüngliche Leistungsverweigerung infolge Verletzung der Schadenminderungspflicht im Sinne der zu Art. 55 Abs. 1 AVIG ergangenen Rechtsprechung setze voraus, dass dem Versicherten ein schweres Verschulden, also vorsätzliches oder grobfahrlässiges Handeln oder Unterlassen vorgeworfen werden kann (vgl. URS BURGHERR, Die Insolvenzentschädigung, Zahlungsunfähigkeit des Arbeitgebers als versichertes Risiko, Diss. Zürich 2004, S. 166). Das Ausmass der vorausgesetzten Schadenminderungspflicht richtet sich nach den jeweiligen Umständen des Einzelfalls. Zu ergänzen ist, dass die versicherte Person dann zu weitergehenden Schritten gehalten ist,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(Urteile C 231/06 vom 5. Dezember 2006 und C 163/06 vom 19. Oktober 2006).</w:t>
      </w:r>
    </w:p>
    <w:p>
      <w:r>
        <w:rPr>
          <w:b/>
        </w:rPr>
        <w:t>E. 3</w:t>
      </w:r>
    </w:p>
    <w:p>
      <w:r>
        <w:t>Vorliegend ist umstritten, ob der Beschwerdeführer vor Auflösung des Arbeitsverhältnisses und vor der definitiven Konkurseröffnung seiner Schadenminderungspflicht nachgekommen ist.</w:t>
      </w:r>
    </w:p>
    <w:p>
      <w:r>
        <w:rPr>
          <w:b/>
        </w:rPr>
        <w:t>E. 3.1</w:t>
      </w:r>
    </w:p>
    <w:p>
      <w:r>
        <w:t>Die Vorinstanz hat erwogen, eine versicherte Person habe im Rahmen ihrer Schadenminderungspflicht alles zu unternehmen, um ihre Ansprüche gegenüber dem Arbeitgeber zu wahren, und insbesondere aus beweisrechtlichen Gründen könne erwartet werden, dass Mahnungen wenigstens schriftlich abgefasst würden. Das Schreiben des Beschwerdeführers und zweier mitunterzeichnender Arbeitskolleginnen vom 16. November 2007, in welchem gegenüber der Arbeitgeberin ein gleichentags geführtes Gespräch über die ausstehenden Löhne und deren begründetes Versprechen bestätigt wurde, diese spätestens bis Ende Jahr zu begleichen, wertete das kantonale Gericht nicht als Mahnung oder als unmissverständliche Geltendmachung der Lohnforderung. Vielmehr sei daraus im Hinblick auf ein zu erwartendes rettendes Immobiliengeschäft das Einverständnis zu einem weiteren Zuwarten auf die ausstehenden Löhne zu entnehmen. Weiter wird im angefochtenen Entscheid ausgeführt, spätestens als am 27. November 2007 über die Y.________ AG der Konkurs eröffnet worden sei, hätten weitergehende Schritte - wie eine schriftliche Mahnung - gegenüber der Arbeitgeberin erfolgen müssen, was nicht geschah und was eine Verletzung der Schadenminderungspflicht darstelle. Insbesondere angesichts der hohen ausstehenden Lohnsumme stellten die angeblichen mündlichen Mahnungen eine Verletzung der Schadenminderungspflicht gegenüber der Arbeitslosenversicherung dar.</w:t>
      </w:r>
    </w:p>
    <w:p>
      <w:r>
        <w:rPr>
          <w:b/>
        </w:rPr>
        <w:t>E. 3.2</w:t>
      </w:r>
    </w:p>
    <w:p>
      <w:r>
        <w:t>Der Beschwerdeführer lässt geltend machen, er habe seine Lohnforderung gegenüber der Arbeitgeberin klar und unmissverständlich gemahnt. Das sei durch Schreiben des ehemaligen Verwaltungsrates der Arbeitgeberin, M.________, vom 12. Juni 2009 bestätigt worden. Das kantonale Gericht habe dieses Schriftstück zu Unrecht in seinem Entscheid nicht berücksichtigt. Ebenso habe es die von ihm beantragte Zeugenbefragung des M.________ nicht durchgeführt, womit sein Recht auf rechtliches Gehör verletzt worden sei.</w:t>
      </w:r>
    </w:p>
    <w:p>
      <w:r>
        <w:rPr>
          <w:b/>
        </w:rPr>
        <w:t>E. 4.1</w:t>
      </w:r>
    </w:p>
    <w:p>
      <w:r>
        <w:t>Aufgrund der Akten, insbesondere des Antrags auf Insolvenzentschädigung des Beschwerdeführers steht fest, dass dieser ab Juli 2007 und damit während der letzten sieben Monate des Arbeitsverhältnisses keine Lohnzahlungen mehr erhalten hat. Diese wurden bis zum Schreiben des 16. November 2007 lediglich mündlich geltend gemacht.</w:t>
      </w:r>
    </w:p>
    <w:p>
      <w:r>
        <w:rPr>
          <w:b/>
        </w:rPr>
        <w:t>E. 4.2</w:t>
      </w:r>
    </w:p>
    <w:p>
      <w:r>
        <w:t>Nach konstanter Rechtsprechung - auf welche auch im angefochtenen Entscheid verwiesen wird - genügt es für die Erfüllung der Schadenminderungspflicht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 8C_682/2009 vom 23. Oktober 2009 E. 4, veröffentlicht in ARV 2010 S. 46).</w:t>
      </w:r>
    </w:p>
    <w:p>
      <w:r>
        <w:rPr>
          <w:b/>
        </w:rPr>
        <w:t>E. 4.3</w:t>
      </w:r>
    </w:p>
    <w:p>
      <w:r>
        <w:t>Auch nach eigenen Angaben hat der Beschwerdeführer nichts weiter unternommen, um seinen Lohn erhältlich zu machen, als diesen dem Verwaltungsrat M.________ gegenüber vehement zu fordern. Im vorinstanzlichen Verfahren begründete er dieses Verhalten mit seiner Zuversicht, dass ein bestimmtes Immobiliengeschäft, an dem er selbst arbeitete, erfolgreich hätte abgewickelt werden können. Dieses Argument lässt ein Zuwarten von insgesamt sieben Monaten - bis zur Konkurseröffnung am 27. November 2007 verstrichen auch schon knapp vier Monate - nicht als objektiv verständlich erscheinen. Angesichts des sehr hohen Ausstandes und der ihm bekannten Tatsache, dass zumindest noch seine Arbeitskolleginnen K.________ und L.________ auf ihre Lohnzahlungen warteten, hätte auch ein Gewinn im Umfang von Fr. 290'000.- aus dem genannten Geschäft noch keine sichere Begleichung der Lohnforderung bedeutet. Aufgrund der ausserordentlich hohen Ausstände über mehrere Monate und dem Umstand, dass nicht einmal Teilzahlungen erfolgten, wäre der Beschwerdeführer bereits während der Dauer der Anstellung gehalten gewesen, nach einer allenfalls erfolglosen schriftlichen Mahnung, Sicherheiten aus dem zu erwartenden Geschäft geltend zu machen, eine Lohnklage zu erheben oder direkt die Betreibung einzuleiten. Der Beschwerdeführer lässt zwar zu Recht darauf hinweisen, dass eine Verpflichtung zu einem schriftlichen Vorgehen bei laufendem Arbeitsverhältnis nicht vom Gesetz statuiert wird. Eine solche Handlung wäre aber in Nachachtung der Schadenminderungspflicht bei der vorliegenden Entwicklung praxisgemäss notwendig gewesen, weil die Wahrscheinlichkeit eines Lohnverlustes mit dem Zeitablauf stetig zunahm (vgl. Urteile C 231/06 vom 5. Dezember 2006 und C 264/04 vom 20. Juli 2005). Auf mündliche Zusicherungen hätte sich der Versicherte jedenfalls nicht während der langen Dauer des Lohnausstandes verlassen dürfen. Als hochbezahltem Projektverantwortlichem durfte von ihm ein zielgerichtetes Verhalten erwartet werden. In diesem Sinne kann nicht beanstandet werden, dass die blosse mündliche Geltendmachung nach einem Ausstand von mehr als drei bis vier Monaten als grobe Missachtung des objektiv zu Erwartenden gewertet wurde. Verwaltung und Vorinstanz haben den Anspruch auf Insolvenzentschädigung im Ergebnis somit zu Recht verneint.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