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8C_669/2025 vom 9. Dezember 2025</w:t>
      </w:r>
    </w:p>
    <w:p>
      <w:r>
        <w:t>Bundesgericht, 2025-12-09, DE</w:t>
      </w:r>
    </w:p>
    <w:p>
      <w:r>
        <w:rPr>
          <w:b/>
        </w:rPr>
        <w:t xml:space="preserve">Quelle: </w:t>
      </w:r>
      <w:r>
        <w:t>https://mcp.opencaselaw.ch/entscheid/bger_8C_669_2025</w:t>
      </w:r>
    </w:p>
    <w:p>
      <w:r>
        <w:t>FR: TF 8C_669/2025 du 9 décembre 2025</w:t>
      </w:r>
    </w:p>
    <w:p>
      <w:r>
        <w:t>IT: TF 8C_669/2025 del 9 dicembre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Dies bedingt bei angefochtenen Nichteintretensurteilen praxisgemäss eine spezifische Auseinandersetzung mit den Nichteintretensgründen ( BGE 123 V 335 ).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trat mit Urteil vom 7. Oktober 2025 auf die am 12. September 2025 gegen den Einspracheentscheid der Arbeitslosenkasse des Kantons Zug vom 17. Juni 2025 erhobene Beschwerde, weil erst nach Ablauf der Rechtsmittelfrist eingereicht, nicht ein. Dabei legte es in Auseinandersetzung mit dem von der Beschwerdeführerin zur Rechtzeitigkeit des Rechtsmittels Vorgetragenen und in Würdigung der Beweismittel näher dar, weshalb die Beschwerde als verspätet gelten muss und die Voraussetzungen für die Wiederherstellung der versäumten Beschwerdefrist nach Art. 41 ATSG nicht erfüllt sind. Es erläuterte namentlich ausführlich, weswegen die behauptungsweise erfolglose Suche nach einer Rechtsvertretung während der - durch den Fristenstillstand im Sommer sogar auf 54 Tage bis 20. August 2025 verlängerten - Beschwerdefrist oder die geltend gemachte erhebliche organisatorische und psychische Belastung durch die Befassung der Beschwerdeführerin mit der "Liquidation eines weiteren Arbeitgebers" nicht als entschuldbare Gründe für die verspätete Beschwerdeerhebung gelten können.</w:t>
      </w:r>
    </w:p>
    <w:p>
      <w:r>
        <w:rPr>
          <w:b/>
        </w:rPr>
        <w:t>E. 3</w:t>
      </w:r>
    </w:p>
    <w:p>
      <w:r>
        <w:t>Die Beschwerdeführerin zeigt nicht auf, inwieweit die von der Vorinstanz getroffenen Sachverhaltsfeststellungen offensichtlich unrichtig (vgl. Art. 97 Abs. 1 BGG ) - mithin willkürlich ( BGE 146 IV 88 E. 1.3.1 f.; 140 III 115 E. 2; je mit Hinweisen) - oder sonstwie bundesrechtswidrig sein sollen. Ebenso wenig legt sie dar, weshalb die darauf beruhenden Erwägungen gegen Bundesrecht verstossen oder einen anderen Beschwerdegrund (vgl. Art. 95 lit. a-e BGG ) gesetzt haben könnten. Allein die eigene Ansicht darzutun, zu behaupten, die Vorinstanz verletze "Proportionalität und Fairness bei Art. 41 ATSG ", den Grundsatz des rechtlichen Gehörs und die Untersuchungsmaxime, und Anträge auf ergänzende Abklärungen zu stellen, ohne sich konkret mit den vorinstanzlichen Ausführungen zum Fehlen von entschuldbaren Gründen für die verspätete Beschwerdeerhebung auseinanderzusetzen, reicht nicht aus. Die Beschwerdebegründung genügt den gesetzlichen Anforderungen nicht.</w:t>
      </w:r>
    </w:p>
    <w:p>
      <w:r>
        <w:rPr>
          <w:b/>
        </w:rPr>
        <w:t>E. 4</w:t>
      </w:r>
    </w:p>
    <w:p>
      <w:r>
        <w:t>Der Begründungsmangel ist offensichtlich, weshalb im vereinfachten Verfahren nach Art. 108 Abs. 1 lit. b BGG auf das Rechtsmittel nicht einzutreten ist.</w:t>
      </w:r>
    </w:p>
    <w:p>
      <w:r>
        <w:rPr>
          <w:b/>
        </w:rPr>
        <w:t>E. 5</w:t>
      </w:r>
    </w:p>
    <w:p>
      <w:r>
        <w:t>Die Begehren um aufschiebende Wirkung der Beschwerde und um vorsorgliche Massnahmen werden mit diesem Urteil gegenstandslos.</w:t>
      </w:r>
    </w:p>
    <w:p>
      <w:r>
        <w:rPr>
          <w:b/>
        </w:rPr>
        <w:t>E. 6</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