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8C_669/2022 vom 30. August 2023</w:t>
      </w:r>
    </w:p>
    <w:p>
      <w:r>
        <w:t>Bundesgericht, 2023-08-30, FR</w:t>
      </w:r>
    </w:p>
    <w:p>
      <w:r>
        <w:rPr>
          <w:b/>
        </w:rPr>
        <w:t xml:space="preserve">Quelle: </w:t>
      </w:r>
      <w:r>
        <w:t>https://mcp.opencaselaw.ch/entscheid/bger_8C_669_2022</w:t>
      </w:r>
    </w:p>
    <w:p>
      <w:r>
        <w:t>FR: TF 8C_669/2022 du 30 août 2023</w:t>
      </w:r>
    </w:p>
    <w:p>
      <w:r>
        <w:t>IT: TF 8C_669/2022 del 30 agosto 2023</w:t>
      </w:r>
    </w:p>
    <w:p>
      <w:pPr>
        <w:pStyle w:val="Heading2"/>
      </w:pPr>
      <w:r>
        <w:t>Erwägungen</w:t>
      </w:r>
    </w:p>
    <w:p>
      <w:r>
        <w:rPr>
          <w:b/>
        </w:rPr>
        <w:t>E. 1.1</w:t>
      </w:r>
    </w:p>
    <w:p>
      <w:r>
        <w:t>Le Tribunal fédéral examine d'office ( art. 29 al. 1 LTF ) et librement la recevabilité des recours qui lui sont soumis ( ATF 147 I 333 consid. 1; 145 II 168 ).</w:t>
      </w:r>
    </w:p>
    <w:p>
      <w:r>
        <w:rPr>
          <w:b/>
        </w:rPr>
        <w:t>E. 1.2</w:t>
      </w:r>
    </w:p>
    <w:p>
      <w:r>
        <w:t>L'arrêt entrepris concerne une contestation de nature pécuniaire en matière de rapports de travail de droit public, de sorte que le motif d'exclusion de l' art. 83 let . g LTF ne s'applique pas. En outre, vu la différence de salaire annuel entre les classes de traitement L et N ressortant de la grille salariale de la ville et le nombre d'années de travail de la recourante jusqu'à la retraite, la valeur litigieuse dépasse le seuil de 15'000 fr. ouvrant la voie au recours en matière de droit public en ce domaine ( art. 51 al. 1 let. a et al. 2; art. 85 al. 1 let. b LTF ). Pour le surplus, déposé en temps utile et dans les formes requises, le recours en matière de droit public est recevable au regard des art. 42, 90 et 100 al. 1 LTF ; le recours constitutionnel formé simultanément est irrecevable ( art. 113 LTF a contrario). Quant à la conclusion subsidiaire de la recourante visant à faire constater l'illégalité de l'évaluation qui a fait passer sa fonction d'assistante conservatrice à celle d'adjointe scientifique et à rétablir le statu quo ante, elle est irrecevable à tous égards, faute déjà de répondre à un intérêt digne de protection. En effet, on en discerne aucun et la recourante ne s'en explique pas.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w:t>
      </w:r>
    </w:p>
    <w:p>
      <w:r>
        <w:t>Le litige porte sur le bien-fondé de la collocation du poste de la recourante dans la fonction d'adjoint ou adjointe scientifique du catalogue des fonctions.</w:t>
      </w:r>
    </w:p>
    <w:p>
      <w:r>
        <w:rPr>
          <w:b/>
        </w:rPr>
        <w:t>E. 3.1</w:t>
      </w:r>
    </w:p>
    <w:p>
      <w:r>
        <w:t>L'art. 22 du règlement d'application du statut du personnel de la ville du 29 juin 2010 (REGAP; LC 21 151) traite de la demande d'analyse de fonction, qui peut émaner soit d'un employé, soit du chef de service, soit du directeur du département, soit du secrétaire général de la ville (al. 1). Les demandes sont adressées à la DRH, qui examine le dossier, élabore une proposition de suivi et en informe la commission d'évaluation, qui valide cette appréciation (al. 3). La DRH peut proposer l'analyse de fonctions individuelles ou de fonctions-types (al. 4). Lorsqu'une fonction se retrouve, de manière analogue, dans un autre service municipal, la DRH propose une analyse de fonction-type ou une classification par analogie (al. 5).</w:t>
      </w:r>
    </w:p>
    <w:p>
      <w:r>
        <w:t>L'art. 24 REGAP prévoit que les demandes devant faire l'objet d'une analyse individuelle impliquent (al. 1) : l'examen de la description de la fonction (lit. a); l'audition du titulaire, de son chef de service ou d'autres responsables désignés par le chef de service et le cas échéant du directeur du département (lit. b); la discussion du dossier au sein de la commission primaire et l'élaboration d'une proposition de classification (lit. c); la présentation du dossier devant la commission d'évaluation (lit. d). Lorsqu'il s'agit de fonctions-types, il est procédé à l'audition d'une délégation de titulaires et de leur hiérarchie (al. 2). Les art. 25 et 26 REGAP traitent des délibérations au sein de la commission primaire et de la commission d'évaluation. L'art. 27 REGAP règle la décision du CA et sa communication.</w:t>
      </w:r>
    </w:p>
    <w:p>
      <w:r>
        <w:t>Les caractéristiques de chaque poste sont déterminées par le cahier des charges que reçoit chaque membre du personnel, qui décrit les tâches à effectuer ainsi que les responsabilités et les exigences liées au poste (art. 9 SPVG). Celui-ci est rédigé par le service ou département concerné et signé par la hiérarchie et le titulaire du poste. Etabli sur la base de la description de la fonction, le cahier des charges décrit, dans les grandes lignes, les tâches à effectuer, les responsabilités et les exigences liées au poste (art. 9 SPVG et 30 al. 1 REGAP).</w:t>
      </w:r>
    </w:p>
    <w:p>
      <w:r>
        <w:t>Selon l'art. 30 al. 2 REGAP, le cahier des charges peut être modifié en tout temps dans le respect de la description de la fonction si les nécessités du service ou les aptitudes de la personne concernée le justifient. La personne concernée doit être consultée préalablement. Elle a le droit d'exiger à cette fin un entretien avec la personne responsable de la modification du cahier des charges. En cas de désaccord, elle a droit à un recours hiérarchique. Elle peut se faire assister. Si le cahier des charges ne correspond plus à la description de la fonction, la personne concernée peut demander qu'une décision soit rendue sur sa nomination dans une autre fonction (art. 30 al. 3 REGAP).</w:t>
      </w:r>
    </w:p>
    <w:p>
      <w:r>
        <w:rPr>
          <w:b/>
        </w:rPr>
        <w:t>E. 3.2</w:t>
      </w:r>
    </w:p>
    <w:p>
      <w:r>
        <w:t>En l'espèce, la cour cantonale a tout d'abord rappelé que, selon sa jurisprudence relative à l'évaluation d'une fonction (ATA/458/2022 du 3 mai 2022, ATA/12/2022 du 11 janvier 2022 et ATA/300/2021 du 9 mars 2021), le titulaire du poste ne pouvait pas, dans le cadre de la procédure de collocation du poste, se plaindre de ce que l'examen de sa fonction ne prenait pas en compte des éléments qui ne ressortaient pas de son cahier des charges. La classification de sa fonction ne pouvait être examinée qu'au regard des éléments retenus dans son cahier des charges. Si ce document n'énumérait pas correctement les tâches du titulaire du poste, il revenait à ce dernier de le contester.</w:t>
      </w:r>
    </w:p>
    <w:p>
      <w:r>
        <w:t>Les juges cantonaux ont ensuite relevé que la recourante remettait en cause la collocation de son poste sans critiquer l'appréciation faite pour le rattacher à la fonction-type contestée. Elle admettait d'ailleurs que sa demande de collocation n'avait eu aucune réelle portée. En revanche, elle faisait valoir que sa "réalité professionnelle" avait été ignorée et que celle-ci ne correspondait pas à celle d'adjointe scientifique mais à celle de conservatrice. A cet égard, la cour cantonale a souligné qu'une évaluation de fonction présupposait en amont d'établir un cahier des charges reflétant l'activité effective de l'employée concernée (art. 9 SPVG et 30 al. 1 REGPA). Toute divergence relative au cahier des charges devait être clarifiée avant d'entamer la procédure de collocation de fonction, afin que ce document illustre le plus fidèlement possible l'activité exercée par l'employée dans le poste à évaluer. En effet, ce document était le point de départ de l'analyse d'évaluation de fonction. Or, la recourante ne l'avait pas contesté dans le délai prévu auprès de sa hiérarchie et les contestations faites dans son recours étaient exorbitantes au litige, comme l'était sa demande de modification de son cahier des charges faite en cours de procédure de réévaluation. Les éléments mis en avant par la recourante ne pouvaient pas être pris en considération, car seules les tâches décrites dans son cahier des charges de 2018 étaient déterminantes pour l'issue du litige. En outre, elle avait admis lors de son audition que, conformément à son cahier des charges, toutes ses décisions intervenaient sous la responsabilité de sa hiérarchie, à l'exception du contenu des publications ou de la création de liens et de développement de réseau.</w:t>
      </w:r>
    </w:p>
    <w:p>
      <w:r>
        <w:t>La cour cantonale a ainsi jugé que la ville s'était fondée à bon droit sur le cahier des charges de 2018 pour procéder à l'évaluation du poste. La recourante avait renoncé à faire valoir le recours hiérarchique prévu par le REGAP, mais avait initié une procédure de modification de son cahier des charges ne faisant pas l'objet du litige en cours.</w:t>
      </w:r>
    </w:p>
    <w:p>
      <w:r>
        <w:rPr>
          <w:b/>
        </w:rPr>
        <w:t>E. 4</w:t>
      </w:r>
    </w:p>
    <w:p>
      <w:r>
        <w:t>Dans un premier grief d'ordre formel, la recourante se plaint d'une violation de son droit d'être entendue ( art. 29 al. 2 Cst. et 6 CEDH). Elle reproche aux juges cantonaux d'avoir refusé de procéder à sa comparution personnelle et d'entendre des témoins. Ces auditions auraient permis de trancher les contradictions entre sa réalité professionnelle et le résultat de la procédure de collocation, respectivement entre ses activités effectives et son cahier des charges.</w:t>
      </w:r>
    </w:p>
    <w:p>
      <w:r>
        <w:rPr>
          <w:b/>
        </w:rPr>
        <w:t>E. 4.1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le droit d'être entendu oralement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L' art. 6 CEDH n'offre pas de protection plus étendue (arrêt 5A_750/2015 du 4 mars 2016 consid. 2 et les arrêts cités).</w:t>
      </w:r>
    </w:p>
    <w:p>
      <w:r>
        <w:rPr>
          <w:b/>
        </w:rPr>
        <w:t>E. 4.2</w:t>
      </w:r>
    </w:p>
    <w:p>
      <w:r>
        <w:t>En l'espèce, les juges cantonaux ont considéré que la recourante avait eu l'occasion de fournir des explications sur sa réalité professionnelle et de produire toute pièce qu'elle jugeait utile. Elle n'expliquait pas en quoi son audition serait de nature à apporter des éléments nouveaux. En outre, les analystes de fonction avaient déjà procédé à son audition. La recourante n'avait par ailleurs pas fourni de liste de témoins ni précisé les faits sur lesquels les témoignages pourraient porter. La mention "preuve par témoin" dans ses écritures portait sur des éléments non pertinents pour l'issue du litige. De plus, les analystes de fonction avaient entendu le directeur du Musée B.________ et la conservatrice du Musée B.________. Enfin, la cour cantonale a jugé que le dossier en sa possession paraissait complet et lui permettait de trancher le litige en connaissance de cause. Or la recourante échoue à démontrer, et ne prétend d'ailleurs pas, que l'appréciation anticipée des preuves opérée par l'instance précédente serait arbitraire. Au contraire, elle se contente de présenter à nouveau sa propre vision de la situation et de l'opposer à celle de la cour cantonale. Mal fondé, le grief doit être écarté.</w:t>
      </w:r>
    </w:p>
    <w:p>
      <w:r>
        <w:rPr>
          <w:b/>
        </w:rPr>
        <w:t>E. 5</w:t>
      </w:r>
    </w:p>
    <w:p>
      <w:r>
        <w:t>Sous le titre "De la violation du principe de la légalité, de la protection contre l'arbitraire et du droit d'être entendu au regard du Catalogue des fonctions de la Ville de Genève", la recourante reprend l'argumentation qu'elle avait déjà soulevée devant la cour cantonale en lien avec la disparition de la "filière professionnelle". Elle estime que le SPVG et le REGAP imposeraient de mettre en place un système privilégiant la promotion interne et donc la filière professionnelle. Or, le nouveau catalogue des fonctions ne donnerait plus aucune garantie formelle pour un fonctionnaire de voir évoluer sa carrière dans l'administration. La cour cantonale aurait dû instruire cette problématique en convoquant les personnes à même d'en témoigner (le secrétaire général et son adjoint). S'il devait s'avérer que tel est le cas, le nouveau catalogue des fonctions violerait la loi dont il est issu. Autrement dit, la promulgation dudit catalogue aurait requis de modifier la législation en amont. La réponse toute générale donnée par les juges cantonaux - à savoir qu'en tout état de cause, rien n'empêchait un employé de postuler à une fonction qu'il estimait mieux correspondre à ses qualifications - était "singulièrement court[e]".</w:t>
      </w:r>
    </w:p>
    <w:p>
      <w:r>
        <w:t>Outre que la recourante ne fait aucune démonstration de l'existence d'un frein au développement d'une carrière dans l'administration lié à l'introduction du nouveau catalogue des fonctions, elle semble perdre de vue que l'objet du litige est strictement limité au bien-fondé de la collocation de son poste dans la fonction d'adjoint ou adjointe scientifique de ce catalogue. Or la recourante ne dirige pas ses critiques contre les motifs qui ont conduit la cour cantonale à considérer que la ville s'était fondée à bon droit sur le cahier des charges de 2018, qu'elle a signé et accepté, pour l'analyse de fonction de son poste. Par ailleurs, son argumentation est très insuffisante pour rendre même vraisemblable qu'un examen de la conformité du nouveau catalogue des fonctions au droit cantonal pourrait conduire au constat que son application entraînerait, en l'espèce, une violation du droit fédéral (cf. consid. 2.2 supra). Il ne sera donc pas entré en matière plus avant sur son argumentation en lien avec la thématique des filières professionnelles, le recours étant sur ce point insuffisamment motivé dans la mesure où il n'est pas d'emblée hors de propos.</w:t>
      </w:r>
    </w:p>
    <w:p>
      <w:r>
        <w:rPr>
          <w:b/>
        </w:rPr>
        <w:t>E. 6</w:t>
      </w:r>
    </w:p>
    <w:p>
      <w:r>
        <w:t>Il s'ensuit que le recours doit être rejeté dans la mesure où il est recevable. La recourante qui succombe supportera les frais judiciaires ( art. 66 al. 1 LTF ). Bien qu'il obtienne gain de cause, l'intimé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