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8C_669/2018 vom 8. Januar 2019</w:t>
      </w:r>
    </w:p>
    <w:p>
      <w:r>
        <w:t>Bundesgericht, 2019-01-08, DE</w:t>
      </w:r>
    </w:p>
    <w:p>
      <w:r>
        <w:rPr>
          <w:b/>
        </w:rPr>
        <w:t xml:space="preserve">Quelle: </w:t>
      </w:r>
      <w:r>
        <w:t>https://mcp.opencaselaw.ch/entscheid/bger_8C_669_2018</w:t>
      </w:r>
    </w:p>
    <w:p>
      <w:r>
        <w:t>FR: TF 8C_669/2018 du 8 janvier 2019</w:t>
      </w:r>
    </w:p>
    <w:p>
      <w:r>
        <w:t>IT: TF 8C_669/2018 del 8 gennaio 2019</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1.3</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erschiene.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 S. 53 mit Hinweisen).</w:t>
      </w:r>
    </w:p>
    <w:p>
      <w:r>
        <w:rPr>
          <w:b/>
        </w:rPr>
        <w:t>E. 2</w:t>
      </w:r>
    </w:p>
    <w:p>
      <w:r>
        <w:t>Streitig ist, ob die Vorinstanz zu Recht die Verfügung vom 27. März 2017 bestätigte, womit die IV-Stelle einen Anspruch auf Leistungen der Invalidenversicherung verneinte.</w:t>
      </w:r>
    </w:p>
    <w:p>
      <w:r>
        <w:rPr>
          <w:b/>
        </w:rPr>
        <w:t>E. 3</w:t>
      </w:r>
    </w:p>
    <w:p>
      <w:r>
        <w:t>Das kantonale Gericht hat die für die Beurteilung der Streitsache massgebenden rechtlichen Grundlagen im angefochtenen Entscheid zutreffend wiedergegeben. Darauf wird verwiesen ( Art. 109 Abs. 3 BGG ).</w:t>
      </w:r>
    </w:p>
    <w:p>
      <w:r>
        <w:rPr>
          <w:b/>
        </w:rPr>
        <w:t>E. 4.1</w:t>
      </w:r>
    </w:p>
    <w:p>
      <w:r>
        <w:t>In tatsächlicher Hinsicht ist grundsätzlich der bis zum Zeitpunkt des Erlasses der streitigen Verfügung (hier: 27. März 2017) eingetretene Sachverhalt massgebend ist ( BGE 132 V 215 E. 3.1.1 S. 220 mit Hinweis).</w:t>
      </w:r>
    </w:p>
    <w:p>
      <w:r>
        <w:rPr>
          <w:b/>
        </w:rPr>
        <w:t>E. 4.2</w:t>
      </w:r>
    </w:p>
    <w:p>
      <w:r>
        <w:t>Das kantonale Gericht hat nach umfassender Würdigung der medizinischen Aktenlage in Bezug auf die Feststellung des rechtserheblichen Sachverhalts (vgl. E. 4.1 hievor) dem Medas-Gutachten bundesrechtskonform volle Beweiskraft zuerkannt. Mit überzeugender Begründung - worauf verwiesen wird ( Art. 109 Abs. 3 BGG ) - stellte es gestützt auf diese Expertise fest, die angestammte Tätigkeit, welche dem aus polydisziplinärer Sicht formulierten Belastungsprofil einer angepassten Tätigkeit entspreche, sei dem Versicherten mit voller zeitlicher Präsenz zumutbar. Das psychiatrische Krankheitsbild habe lediglich eine qualitative Einschränkung der Leistungsfähigkeit um    20 % zur Folge. Laut angefochtenem Entscheid vermögen die in zeitlicher Hinsicht massgebenden Berichte der behandelnden Ärzte (vgl. E. 4.1 hievor) die gutachterlichen Schlussfolgerungen nicht zu erschüttern, da darin keine wesentlichen Aspekte aufgezeigt werden, die von den Gutachtern unberücksichtigt geblieben wären (SVR 2017 IV      Nr. 49 S. 148, 9C_338/2016 E. 5.5, und SVR 2008 IV Nr. 15 S. 43,      I 514/06 E. 2.1.1). Dementsprechend schloss die Vorinstanz in zulässiger antizipierter Beweiswürdigung darauf, dass von ergänzenden Abklärungen keine entscheidwesentlichen neuen Erkenntnisse mehr zu erwarten waren. Nach praxisgemäss durchgeführter Indikatorenprüfung ging das kantonale Gericht von einer um 20 % eingeschränkten Leistungsfähigkeit in der angestammten und jeder leidensangepassten Tätigkeit gemäss Medas-Gutachten aus. In der Folge verneinte es basierend auf einem Prozentvergleich bei einem Invaliditätsgrad von 20 % einen Rentenanspruch. Da der Beschwerdeführer geltend macht, über keine verwertbare Restarbeitsfähigkeit zu verfügen, hat die Vorinstanz zutreffend bestätigt, dass Eingliederungsmassnahmen unter den gegebenen Umständen nicht Erfolg versprechend sind.</w:t>
      </w:r>
    </w:p>
    <w:p>
      <w:r>
        <w:rPr>
          <w:b/>
        </w:rPr>
        <w:t>E. 4.3</w:t>
      </w:r>
    </w:p>
    <w:p>
      <w:r>
        <w:t>Was der Beschwerdeführer gegen den angefochtenen Entscheid vorbringt, ist offensichtlich unbegründet. Insbesondere legt er nicht dar, inwiefern die vorinstanzlichen Feststellungen zu dem im Zeitpunkt des Verfügungserlasses relevanten Gesundheitszustand und zur Arbeitsfähigkeit offensichtlich unrichtig oder sonstwie bundesrechtswidrig sein sollten. Der Versicherte steht seit 2003 in hausärztlicher Behandlung des Dr. med. C.________, FMH für Allgemeinmedizin. Ab 14. Oktober 2014 attestierte dieser eine volle Arbeitsunfähigkeit. Ohne über psychiatrisch-fachärztliche Spezialkenntnisse zu verfügen, diagnostizierte er ab 2015 zudem verschiedene psychische Gesundheitsstörungen. Der Beschwerdeführer beruft sich auch vor Bundesgericht auf die Berichte des med. pract. D.________, Facharzt FMH für Psychiatrie und Psychotherapie, vom 6. September 2017 sowie 5. April und 13. Juni 2018. Letzterer behandelt den Versicherten unbestritten erst seit 16. Juni 2017. Dieser Psychiater ist daher nicht in der Lage, sich gestützt auf eigene fachärztliche Untersuchungsergebnisse zum tatsächlichen Gesundheitszustand des Beschwerdeführers vor Erlass der Verfügung vom 27. März 2017 zu äussern (vgl. E. 4.1 hievor). Es bleibt folglich auch in psychiatrischer Hinsicht bei der Sachverhaltsfeststellung gemäss angefochtenem Entscheid, wonach sich der Versicherte laut psychiatrischem Medas-Teilgutachten vor Juni 2017 noch nie - weder ambulant, stationär noch teilstationär - einer eigentlichen, psychiatrisch-psychotherapeutischen Behandlung unterzogen hat. Weshalb sich nach Angaben des          Dr. med. C.________ vor diesem Zeitpunkt kein einziger psychiatrischer Facharzt finden liess, welcher die Behandlung des Beschwerdeführers übernehmen wollte, ist nicht nachvollziehbar.</w:t>
      </w:r>
    </w:p>
    <w:p>
      <w:r>
        <w:rPr>
          <w:b/>
        </w:rPr>
        <w:t>E. 4.4</w:t>
      </w:r>
    </w:p>
    <w:p>
      <w:r>
        <w:t>Nach dem Gesagten ist nicht zu beanstanden, dass die Vorinstanz auch unter Berücksichtigung der nach Erstellung des Medas-Gutachtens vom 23. Mai 2016 verfassten Berichte des Dr. med. C.________ und des med. pract. D.________ sowohl in Bezug auf den Gesundheitszustand als auch hinsichtlich der Arbeitsfähigkeit einen ergänzenden Abklärungsbedarf in antizipierter Beweiswürdigung verneinte. Von einer Verletzung des Untersuchungsgrundsatzes ( Art. 61 lit. c ATSG ) kann mit Blick auf den rechtserheblichen, bei Verfügungserlass massgebenden (E. 4.1 hievor) Sachverhalt keine Rede sein. Sind die Vorbringen gegen die vorinstanzlich bestätigte Feststellung der Leistungsfähigkeitseinschränkung von 20 % offensichtlich unbegründet, bleibt es beim angefochtenen Entscheid. Denn der Versicherte erhebt weder gegen den Prozentvergleich noch gegen die darauf basierende Verneinung eines Anspruchs auf Leistungen der Invalidenversicherung anderweitige Einwände.</w:t>
      </w:r>
    </w:p>
    <w:p>
      <w:r>
        <w:rPr>
          <w:b/>
        </w:rPr>
        <w:t>E. 5</w:t>
      </w:r>
    </w:p>
    <w:p>
      <w:r>
        <w:t>Die offensichtlich unbegründete Beschwerde wird im vereinfachten Verfahren nach Art. 109 Abs. 2 lit. a BGG ohne Durchführung eines Schriftenwechsels, mit summarischer Begründung und unter Verweis auf den kantonalen Entscheid ( Art. 109 Abs. 3 BGG ) erledigt.</w:t>
      </w:r>
    </w:p>
    <w:p>
      <w:r>
        <w:rPr>
          <w:b/>
        </w:rPr>
        <w:t>E. 6</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