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8C_668/2015 vom 30. September 2015</w:t>
      </w:r>
    </w:p>
    <w:p>
      <w:r>
        <w:t>Bundesgericht, 2015-09-30, DE</w:t>
      </w:r>
    </w:p>
    <w:p>
      <w:r>
        <w:rPr>
          <w:b/>
        </w:rPr>
        <w:t xml:space="preserve">Quelle: </w:t>
      </w:r>
      <w:r>
        <w:t>https://mcp.opencaselaw.ch/entscheid/bger_8C_668_2015</w:t>
      </w:r>
    </w:p>
    <w:p>
      <w:r>
        <w:t>FR: TF 8C_668/2015 du 30 septembre 2015</w:t>
      </w:r>
    </w:p>
    <w:p>
      <w:r>
        <w:t>IT: TF 8C_668/2015 del 30 settembre 2015</w:t>
      </w:r>
    </w:p>
    <w:p>
      <w:pPr>
        <w:pStyle w:val="Heading2"/>
      </w:pPr>
      <w:r>
        <w:t>Volltext</w:t>
      </w:r>
    </w:p>
    <w:p>
      <w:r>
        <w:t>Bundesgericht</w:t>
      </w:r>
    </w:p>
    <w:p>
      <w:r>
        <w:t>Tribunal fédéral</w:t>
      </w:r>
    </w:p>
    <w:p>
      <w:r>
        <w:t>Tribunale federale</w:t>
      </w:r>
    </w:p>
    <w:p>
      <w:r>
        <w:t>Tribunal federal</w:t>
      </w:r>
    </w:p>
    <w:p>
      <w:r>
        <w:t>8C_668/2015 {T 0/2}</w:t>
      </w:r>
    </w:p>
    <w:p>
      <w:r>
        <w:t>Urteil vom 30.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Amt für Wirtschaft und Arbeit (AWA) des</w:t>
      </w:r>
    </w:p>
    <w:p>
      <w:r>
        <w:t>Kantons Aargau, Rain 53, 5000 Aarau,</w:t>
      </w:r>
    </w:p>
    <w:p>
      <w:r>
        <w:t>Beschwerdegegner.</w:t>
      </w:r>
    </w:p>
    <w:p>
      <w:r>
        <w:t>Gegenstand</w:t>
      </w:r>
    </w:p>
    <w:p>
      <w:r>
        <w:t>Arbeitslosenversicherung (Prozessvoraussetzung),</w:t>
      </w:r>
    </w:p>
    <w:p>
      <w:r>
        <w:t>Beschwerde gegen den Entscheid des Versicherungsgerichts des Kantons Aargau vom 4. August 2015.</w:t>
      </w:r>
    </w:p>
    <w:p>
      <w:r>
        <w:t>Nach Einsicht</w:t>
      </w:r>
    </w:p>
    <w:p>
      <w:r>
        <w:t>in die Beschwerde vom 11. September 2015 gegen den Entscheid des Versicherungsgerichts des Kantons Aargau vom 4. August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Vorinstanz die von der Verwaltung verfügte Einstellung in der Anspruchsberechtigung auf Arbeitslosentaggelder für die Dauer von drei Tagen mit der Begründung bestätigte, spätestens ab dem 26. September 2014 habe für den Beschwerdeführer eine Verpflichtung bestanden, sich in hinreichendem Umfang um eine neue Arbeitsstelle zu bemühen, was er indessen nachweislich nicht getan habe,</w:t>
      </w:r>
    </w:p>
    <w:p>
      <w:r>
        <w:t>das sich der Beschwerdeführer letztinstanzlich darauf beschränkt, das bereits vor Vorinstanz zu seiner Entlastung Vorgetragene zu wiederholen, ohne auf die dazu ergangenen Erwägungen des kantonalen Gerichts konkret einzugehen, geschweige denn aufzuzeigen, inwiefern diese rechtsfehlerhaft sein sollen oder offenkundig auf einer für den Entscheid wesentlichen unrichtigen Sachverhaltsfeststellung beruhen,</w:t>
      </w:r>
    </w:p>
    <w:p>
      <w:r>
        <w:t>dass dieser Begründungsmangel offensichtlich ist, weshalb das vereinfachte Verfahren nach Art. 108 Abs. 1 lit. b BGG zur Anwendung gelangt und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30.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