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8C_668/2012 vom 26. Februar 2013</w:t>
      </w:r>
    </w:p>
    <w:p>
      <w:r>
        <w:t>Bundesgericht, 2013-02-26, DE</w:t>
      </w:r>
    </w:p>
    <w:p>
      <w:r>
        <w:rPr>
          <w:b/>
        </w:rPr>
        <w:t xml:space="preserve">Quelle: </w:t>
      </w:r>
      <w:r>
        <w:t>https://mcp.opencaselaw.ch/entscheid/bger_8C_668_2012</w:t>
      </w:r>
    </w:p>
    <w:p>
      <w:r>
        <w:t>FR: TF 8C_668/2012 du 26 février 2013</w:t>
      </w:r>
    </w:p>
    <w:p>
      <w:r>
        <w:t>IT: TF 8C_668/2012 del 26 febbraio 2013</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Streitig und zu prüfen ist, ob die Vorinstanz zu Recht das Vorliegen einer Berufskrankheit und demzufolge einen Anspruch der Beschwerdeführerin auf eine Hinterlassenenrente verneint hat.</w:t>
      </w:r>
    </w:p>
    <w:p>
      <w:r>
        <w:rPr>
          <w:b/>
        </w:rPr>
        <w:t>E. 3</w:t>
      </w:r>
    </w:p>
    <w:p>
      <w:r>
        <w:t>Die Vorinstanz hat die Bestimmungen und Grundsätze über den Anspruch auf Versicherungsleistungen bei Berufskrankheit ( Art. 6 und Art. 9 Abs. 1 UVG ), namentlich den Anspruch auf Hinterlassenenrente bei Berufskrankheiten (Art. 28 in Verbindung mit Art. 9 Abs. 3 UVG ) und die Anerkennung eines Bronchuskarzinoms als Berufskrankheit unter Berücksichtigung der "Helsinki-Kriterien" (SVR 2011 UV Nr. 3 S. 9 [8C_67/2010]), sowie den Beweiswert von Berichten versicherungsinterner Ärzte ( BGE 135 V 465 E. 4.7 S. 471) zutreffend dargelegt. Darauf wird verwiesen.</w:t>
      </w:r>
    </w:p>
    <w:p>
      <w:r>
        <w:rPr>
          <w:b/>
        </w:rPr>
        <w:t>E. 4</w:t>
      </w:r>
    </w:p>
    <w:p>
      <w:r>
        <w:t>Soweit die Beschwerdeführerin vor Bundesgericht wortwörtlich dieselben Einwände wie vor dem kantonalen Gericht vorbringt, kann vollumfänglich auf die vorinstanzlichen Erwägungen verwiesen werden.</w:t>
      </w:r>
    </w:p>
    <w:p>
      <w:r>
        <w:rPr>
          <w:b/>
        </w:rPr>
        <w:t>E. 5</w:t>
      </w:r>
    </w:p>
    <w:p>
      <w:r>
        <w:t>Die Beschwerdeführerin sieht ihre Rechte verletzt, weil das kantonale Gericht nach dem Rückweisungsentscheid des Bundesgerichts keinen zusätzlichen Schriftenwechsel durchgeführt hat.</w:t>
      </w:r>
    </w:p>
    <w:p>
      <w:r>
        <w:rPr>
          <w:b/>
        </w:rPr>
        <w:t>E. 5.1</w:t>
      </w:r>
    </w:p>
    <w:p>
      <w:r>
        <w:t>Das Bundesgericht kann sowohl einen kassatorischen als auch einen reformatorischen Entscheid fällen ( Art. 107 Abs. 2 BGG ). Mit Urteil 8C_455/2011 vom 4. Mai 2012 (SVR 2012 UV Nr. 29 S. 107) hat das Bundesgericht kein reformatorisches Urteil gefällt, sondern die Sache an die Vorinstanz zurückgewiesen, da diese nur über die Zuständigkeit der SUVA entschieden, nicht aber sich zu den Voraussetzungen einer Berufskrankheit geäussert hatte. Mit diesem Vorgehen trägt das Bundesgericht dem Umstand Rechnung, dass der Rechtsunterworfene grundsätzlich Anspruch auf Einhaltung des Instanzenzugs hat (vgl. Ulrich Meyer/Johanna Dormann, Basler Kommentar, Bundesgerichtsgesetz, 2. Aufl. 2011, N. 15 zu Art. 107 BGG ), in casu auch bezüglich der Beurteilung der Voraussetzungen einer Berufskrankheit. Entgegen der Ansicht der Beschwerdeführerin bedeutet eine Rückweisung nicht automatisch, dass das kantonale Verfahren wieder von vorne beginnt, sondern es wird auf dem Stand vor Erlass des ersten kantonalen Entscheids fortgesetzt. Mit anderen Worten bleiben die bisherigen Eingaben und Äusserungen der Parteien weiterhin massgebend, namentlich wenn die Instanz, an welche zurückgewiesen wurde, keine weiteren Abklärungen vorzunehmen und nur noch über bereits aufgeworfene Fragen zu entscheiden hat; dies ist auch folgerichtig, bildet doch Grundlage dieses zweiten Entscheids dieselbe Beschwerde wie beim ersten. Wenn sich auf Grund des Verfahrensstandes bei Erlass des ersten Entscheids die Sache bezüglich der von der Vorinstanz noch nicht beurteilten Fragen aber als liquid erweist, kann sie ohne weitere Vorkehrungen über die in der Beschwerde gestellten Anträge unter Berücksichtigung der bundesgerichtlichen Vorgaben entscheiden. Insofern besteht kein genereller Anspruch auf Durchführung eines erneuten Schriftenwechsels nach einem Rückweisungsentscheid.</w:t>
      </w:r>
    </w:p>
    <w:p>
      <w:r>
        <w:rPr>
          <w:b/>
        </w:rPr>
        <w:t>E. 5.2</w:t>
      </w:r>
    </w:p>
    <w:p>
      <w:r>
        <w:t>Nach dem Gesagten ist nicht zu beanstanden, dass die Vorinstanz keinen weiteren Schriftenwechsel anordnete, sondern gestützt auf die bisherigen Rechtsschriften ihren Entscheid fällte. Daran ändert auch die von der Beschwerdeführerin geltend gemachte (theoretische) Möglichkeit neuer Erkenntnisse nichts, ist doch gerade unter den konkreten Umständen nicht mit neuen rechtserheblichen Beweismitteln zu rechnen, die nicht schon vor dem ersten Entscheid hätten beigebracht werden können. Die Beschwerdeführerin macht denn auch keine konkreten neuen Erkenntnisse geltend. Zudem stützte sich die Vorinstanz bei ihrem Entscheid vom 30. Juli 2012 weder auf ein Aktenstück, zu welchem die Beschwerdeführerin vorgängig nicht Stellung nehmen konnte, noch auf eine rechtliche Grundlage, mit deren Heranziehung die Beschwerdeführerin nicht rechnen musste. Weiter handelt die Gewährung des rechtlichen Gehörs im Sinne von § 25 des Gesetzes des Kantons Zürich vom 7. März 1993 über das Sozialversicherungsgericht (GSVGer; 212.81) von der reformatio in peius (vgl. auch Art. 61 lit. d ATSG ); der vor Bundesgericht angefochtene Entscheid stellt die Beschwerdeführerin jedoch nicht schlechter als der Einspracheentscheid vom 26. Januar 2009. Es liegt somit weder eine Verletzung des rechtlichen Gehörs nach Art. 61 ATSG noch nach § 25 GSVGer vor.</w:t>
      </w:r>
    </w:p>
    <w:p>
      <w:r>
        <w:rPr>
          <w:b/>
        </w:rPr>
        <w:t>E. 6.1</w:t>
      </w:r>
    </w:p>
    <w:p>
      <w:r>
        <w:t>Die Beschwerdeführerin wirft der Vorinstanz eine Verkennung des Gehalts von Art. 61 ATSG vor, indem diese sich auf den Standpunkt stelle, gewisse Sachverhaltselemente seien von der Beschwerdeführerin nicht behauptet resp. nicht bestritten worden. Nach Art. 61 lit. b ATSG sei nur eine gedrängte Darstellung des Sachverhalts verlangt und die versicherte Person habe - anders als im Zivilprozess - keine strikte Behauptungs- und Bestreitungslast.</w:t>
      </w:r>
    </w:p>
    <w:p>
      <w:r>
        <w:rPr>
          <w:b/>
        </w:rPr>
        <w:t>E. 6.2</w:t>
      </w:r>
    </w:p>
    <w:p>
      <w:r>
        <w:t>Der erstinstanzliche Sozialversicherungsprozess ist vom Untersuchungsgrundsatz beherrscht ( Art. 61 lit. c ATSG ). Danach hat das Gericht von Amtes wegen für die richtige und vollständige Abklärung des rechtserheblichen Sachverhalts zu sorgen. Dieser Grundsatz gilt indessen nicht uneingeschränkt; er findet sein Korrelat in den Mitwirkungspflichten der Parteien ( BGE 125 V 193 E. 2 S. 195; 122 V 157 E. 1a S. 158; vgl. BGE 130 I 180 E. 3.2 S. 183).</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t>Art. 61 lit. c ATSG betont die Mitwirkungspflicht der Parteien, welche im Wesentlichen in der Begründungs- und Rügepflicht besteht; eine Verletzung der Mitwirkungspflicht hat zur Folge, dass das kantonale Gericht auf Grund der vorliegenden Beweise entscheidet (vgl. Ueli Kieser, ATSG-Kommentar, 2. Aufl. 2009, Rz. 67 zu Art. 61 ATSG ). Insofern darf von einer beschwerdeführenden Partei verlangt werden, dass sie jene Punkte rügt, mit welchen sie nicht einverstanden ist, und diese - soweit es ihr möglich ist - auch belegt.</w:t>
      </w:r>
    </w:p>
    <w:p>
      <w:r>
        <w:rPr>
          <w:b/>
        </w:rPr>
        <w:t>E. 6.3</w:t>
      </w:r>
    </w:p>
    <w:p>
      <w:r>
        <w:t>Nach dem Gesagten ist nicht zu beanstanden, dass die Vorinstanz gestützt auf die Ausführungen der Beschwerdeführerin (vgl. Ziff. 4.2 der vorinstanzlichen Beschwerde, in welcher die erste Tätigkeit bei der A.________ &amp; Cie. thematisiert, aber keine entsprechende Asbestexposition geltend gemacht, sondern in der Tabelle zu den zu berücksichtigenden Monaten erst die Zeit ab 2. Mai 1972 aufgeführt wurde) und die vorliegenden Unterlagen davon ausging, eine asbestexponierte Tätigkeit sei erst ab der erneuten Beschäftigung bei der A.________ &amp; Cie. (2. Mai 1972) strittig.</w:t>
      </w:r>
    </w:p>
    <w:p>
      <w:r>
        <w:rPr>
          <w:b/>
        </w:rPr>
        <w:t>E. 7.1</w:t>
      </w:r>
    </w:p>
    <w:p>
      <w:r>
        <w:t>Nach Art. 43 Abs. 1 ATSG prüft der Versicherer die Begehren, nimmt die notwendigen Abklärungen von Amtes wegen vor und holt die erforderlichen Auskünfte ein. Bei der Prüfung der Begehren darf er auch den Sachverstand verwaltungsinterner (medizinischer) Fachpersonen einbeziehen ( BGE 135 V 465 E. 4.2 S. 467). Bezüglich der Berichte versicherungsinterner Fachpersonen gilt der Grundsatz, wonach ein Anstellungsverhältnis dieser Person zum Versicherungsträger alleine nicht schon auf mangelnde Objektivität und Befangenheit schliessen lässt; bestehen jedoch Zweifel an der Zuverlässigkeit, sind ergänzende Abklärungen vorzunehmen ( BGE 135 V 465 E. 4.4 S. 470 mit Hinweisen).</w:t>
      </w:r>
    </w:p>
    <w:p>
      <w:r>
        <w:rPr>
          <w:b/>
        </w:rPr>
        <w:t>E. 7.2</w:t>
      </w:r>
    </w:p>
    <w:p>
      <w:r>
        <w:t>Soweit die Beschwerdeführerin eine Verletzung der Untersuchungspflicht infolge mangelnder Abklärung bezüglich der Tätigkeit für die O.________ rügt, ist dies offensichtlich aktenwidrig. Denn die SUVA hat bei der O.________ nachgefragt, welche mit Schreiben vom 23. November 2005 bestätigte, dass der Verstorbene während seiner Beschäftigung bei der O.________ keinerlei Kontakt mit Asbest hatte. In diesem Sinne erweist sich auch die Behauptung als falsch, die SUVA habe lediglich bei zwei der Arbeitgeber Auskünfte eingeholt. Die Beschwerdeführerin argumentiert widersprüchlich, wenn sie vor Bundesgericht einerseits behauptet, die angefragten Arbeitgeber würden alle - nur um sich selber nicht zu belasten - unzutreffende Angaben machen (S. 12 der Beschwerde), andererseits aber der SUVA vorwirft, sie habe ihre Untersuchungspflicht verletzt, indem ihr Mitarbeiter Bereich Chemie bei den Arbeitgebern nicht nachgefragt habe (S. 13 der Beschwerde).</w:t>
      </w:r>
    </w:p>
    <w:p>
      <w:r>
        <w:t>Auch die übrigen Einwände der Beschwerdeführerin sind unbehelflich. So kann sie aus der geltend gemachten erforderlichen Latenzzeit nichts zu ihren Gunsten ableiten. Würde man ihrer Argumentation folgen, wonach die Tätigkeit in Italien nicht geeignet war, die Berufskrankheit auszulösen, würde dies mangels Zuständigkeit die Unrechtmässigkeit der von der INAIL ausgerichteten Rente bedeuten (vgl. dazu Urteil 8C_455/2011 vom 4. Mai 2012 E. 4.2 [SVR 2012 UV Nr. 29 S. 107]). Auch hat die Vorinstanz zu Recht nicht auf den Bericht des Dr. med. P.________ vom 6. Mai 2000 abgestellt, da er seine Schlussfolgerungen nicht unter Berücksichtigung der "Helsinki-Kriterien" gezogen hat und sie daher für die hier strittigen Fragen nicht massgeblich sind. Insbesondere ist nicht nachvollziehbar, weshalb die Einschätzung des Dr. med. P.________, dessen Bericht sich nur auf die Aussagen der Beschwerdeführerin, nicht aber auf eine einzige Abklärung bei einem ehemaligen Arbeitgeber stützt, überzeugender sein soll als die Aussagen der SUVA-Spezialisten, welche Auskünfte bei den betroffenen Arbeitgebern einholten. Auch ist mit der Vorinstanz darauf hinzuweisen, dass nicht jede Tätigkeit als (Hilfs-)Schlosser als asbestexponierte Tätigkeit anzurechnen ist, sondern dass es sehr wohl auch Schlosserarbeiten gibt, bei welchen keine Asbestexposition erfolgt (vgl. dazu BK-Report 1/2007 S. 171, wo explizit festgehalten ist, die aufgeführten Tätigkeiten seien nicht generell mit einer Asbestexposition verbunden). Unzutreffend ist schliesslich die Behauptung, die Beschwerdeführerin habe alleine von der Rente der INAIL zu leben, ergibt sich doch aus den Akten, dass sie eine Witwenrente der schweizerischen AHV bezieht (vgl. etwa Vorbescheid der IV-Stelle für Versicherte im Ausland vom 26. August 1998).</w:t>
      </w:r>
    </w:p>
    <w:p>
      <w:r>
        <w:t>Insgesamt vermag die Beschwerdeführerin nichts vorzubringen, was die Berichte des Dr. med. R.________, Facharzt für Innere Medizin und Arbeitsmedizin, sowie des Mitarbeiters Bereich Chemie in Zweifel ziehen würde. Gestützt auf deren Berichte hat die Vorinstanz demnach zu Recht eine Berufskrankheit verneint und den Anspruch auf Hinterlassenenleistungen abgelehnt.</w:t>
      </w:r>
    </w:p>
    <w:p>
      <w:r>
        <w:rPr>
          <w:b/>
        </w:rPr>
        <w:t>E. 8</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