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667/2022 vom 9. Januar 2023</w:t>
      </w:r>
    </w:p>
    <w:p>
      <w:r>
        <w:t>Bundesgericht, 2023-01-09, DE</w:t>
      </w:r>
    </w:p>
    <w:p>
      <w:r>
        <w:rPr>
          <w:b/>
        </w:rPr>
        <w:t xml:space="preserve">Quelle: </w:t>
      </w:r>
      <w:r>
        <w:t>https://mcp.opencaselaw.ch/entscheid/bger_8C_667_2022</w:t>
      </w:r>
    </w:p>
    <w:p>
      <w:r>
        <w:t>FR: TF 8C 667/2022 du 9 janvier 2023</w:t>
      </w:r>
    </w:p>
    <w:p>
      <w:r>
        <w:t>IT: TF 8C 667/2022 del 9 gennaio 2023</w:t>
      </w:r>
    </w:p>
    <w:p>
      <w:pPr>
        <w:pStyle w:val="Heading2"/>
      </w:pPr>
      <w:r>
        <w:t>Regeste</w:t>
      </w:r>
    </w:p>
    <w:p>
      <w:r>
        <w:t>Arbeitslosenversicherung (Prozessvoraussetzung) | Arbeitslosenversicherung</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144 V 50 E. 4.2; 137 V 57 E. 1.3 und 136 I 65 E. 1.3.1).</w:t>
      </w:r>
    </w:p>
    <w:p>
      <w:r>
        <w:rPr>
          <w:b/>
        </w:rPr>
        <w:t>E. 2</w:t>
      </w:r>
    </w:p>
    <w:p>
      <w:r>
        <w:t>Das Kantonsgericht Basel-Landschaft gelangte in seinem Urteil vom 18. Oktober 2022 in Auseinandersetzung mit den Parteivorbringen und in Würdigung der Akten zur Überzeugung, die Arbeitslosenkasse habe dem Beschwerdeführer für die Zeit vom 11. bis 13. August 2021 wegen zu viel bezogener Ferientage zu Recht keine Taggelder ausbezahlt. Dabei erwog es näher, weshalb ein Vorbezug von kontrollfreien Tagen, wie er vom Beschwerdeführer gefordert wurde, ausgeschlossen sei.</w:t>
      </w:r>
    </w:p>
    <w:p>
      <w:r>
        <w:rPr>
          <w:b/>
        </w:rPr>
        <w:t>E. 3</w:t>
      </w:r>
    </w:p>
    <w:p>
      <w:r>
        <w:t>Der Beschwerde des A.________ vo m 14. November 2022 (Poststempel) kann nicht entnommen werden, inwiefern die Erwägungen der Vorinstanz rechtsfehlerhaft sein sollen. Vielmehr beschränkt sich der Beschwerdeführer im Wesentlichen darauf, das vor Vorinstanz Vorgetragene und von dieser Entkräftete zu wiederholen. Sodann ist unklar, was der Beschwerdeführer mit dem Hinweis auf die von der RAV-Beraterin unkommentiert gebliebene Ferienabwesenheitsmitteilung vom 14. Juli 2021 zu seinen Gunsten ableiten will, zumal allein damit kein sich aus der Beratungspflicht nach Art. 27 Abs. 2 ATSG allenfalls ableitbarer Vertrauenstatbestand ( BGE 146 I 105 E. 5.1.1; 143 V 341 E. 5.2.1 ; 141 I 161 E. 3.1; Urteil 8C_332/2011 vom 11. Oktober 2011 E. 5.1.3) angerufen ist.</w:t>
      </w:r>
    </w:p>
    <w:p>
      <w:r>
        <w:rPr>
          <w:b/>
        </w:rPr>
        <w:t>E. 4</w:t>
      </w:r>
    </w:p>
    <w:p>
      <w:r>
        <w:t>Damit liegt offensichtlich keine hinreichend sachbezogen begründete Beschwerde vor, was zu einem Nichteintreten im vereinfachten Verfahren nach Art. 108 Abs. 1 lit. b BGG führt.</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