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8C_667/2012 vom 12. Juni 2013</w:t>
      </w:r>
    </w:p>
    <w:p>
      <w:r>
        <w:t>Bundesgericht, 2013-06-12, FR</w:t>
      </w:r>
    </w:p>
    <w:p>
      <w:r>
        <w:rPr>
          <w:b/>
        </w:rPr>
        <w:t xml:space="preserve">Quelle: </w:t>
      </w:r>
      <w:r>
        <w:t>https://mcp.opencaselaw.ch/entscheid/bger_8C_667_2012</w:t>
      </w:r>
    </w:p>
    <w:p>
      <w:r>
        <w:t>FR: TF 8C_667/2012 du 12 juin 2013</w:t>
      </w:r>
    </w:p>
    <w:p>
      <w:r>
        <w:t>IT: TF 8C_667/2012 del 12 giugno 2013</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Le litige porte sur le droit du recourant à une rente d'invalidité au-delà du 30 septembre 2004, singulièrement sur le point de savoir si l'OAI pouvait se fonder sur les expertises des docteurs C.________ et M.________ pour nier le droit aux prestations de l'assurance-invalidité au-delà de cette date. Il s'agit d'examiner si, comme le soutient le recourant, l'instruction du cas était complète lorsque Y.________ a rendu son rapport d'expertise ou s'il pouvait encore être tenu compte des expertises des docteurs C.________ et M.________ pour apprécier la capacité de travail du recourant et, partant, son droit éventuel à une rente.</w:t>
      </w:r>
    </w:p>
    <w:p>
      <w:r>
        <w:rPr>
          <w:b/>
        </w:rPr>
        <w:t>E. 3</w:t>
      </w:r>
    </w:p>
    <w:p>
      <w:r>
        <w:t>Le recourant soutient qu'en discutant du point de savoir laquelle des expertises de Y.________ d'une part, et celles des docteurs C.________ et M.________ d'autre part, était la plus probante, les premiers juges ont violé le droit. La question qui se posait en l'espèce était plutôt celle de savoir si l'OAI "pouvait dire que l'expertise de Y.________ du 23 mai 2008 était si peu probante qu'il fallait en mettre en oeuvre une deuxième". Or, selon le recourant, l'OAI n'avait jamais prétendu au défaut de valeur probante de l'expertise de Y.________ et les premiers juges n'en avaient pas fait la démonstration. Se prévalant en outre du principe de protection de la bonne foi, le recourant fait valoir que l'OAI "aurait, s'il n'avait pas voulu se contredire et tromper, dû, sans attendre, donner à son projet de décision du 11 novembre 2008 la forme d'une décision".</w:t>
      </w:r>
    </w:p>
    <w:p>
      <w:r>
        <w:rPr>
          <w:b/>
        </w:rPr>
        <w:t>E. 4.1</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w:t>
      </w:r>
    </w:p>
    <w:p>
      <w:r>
        <w:t>De son côté, conformément à son devoir de collaborer à l'instruction de l'affaire ( ATF 125 V 193 consid. 2 p. 195), l'assuré est tenu de se soumettre aux examens médicaux et techniques qui sont nécessaires à l'appréciation du cas et peuvent être raisonnablement exigés ( art. 43 al. 2 LPGA ). En ce sens (arrêt U 571/06 du 29 mai 2007 consid. 4.1, in RSAS 2008 p. 181), le pouvoir d'appréciation de l'administration dans la mise en oeuvre d'un examen médical n'est pas illimité; elle doit se laisser guider par les principes de l'Etat de droit, tels les devoirs d'objectivité et d'impartialité (cf. ULRICH MEYER-BLASER, Das medizinische Gutachten aus sozialrechtlicher Sicht, in ADRIAN M. SIEGEL/DANIEL FISCHER, Die neurologische Begutachtung, Schweizerisches medico-legales Handbuch, vol. 1, 2004, p. 105) et le principe d'une administration rationnelle (cf. MARKUS FUCHS, Rechtsfragen im Rahmen des Abklärungsverfahrens bei Unfällen, in RSAS 2006 p. 288).</w:t>
      </w:r>
    </w:p>
    <w:p>
      <w:r>
        <w:rPr>
          <w:b/>
        </w:rPr>
        <w:t>E. 4.2</w:t>
      </w:r>
    </w:p>
    <w:p>
      <w:r>
        <w:t>Selon la jurisprudence (arrêt 9C_1012/2008 du 30 juin 2009 consid. 3.2.2 et la référence citée), le devoir de prendre d'office les mesures d'instruction nécessaires à l'appréciation du cas au sens de l' art. 43 al. 1 LPGA ne comprend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(Kieser, ATSG-Kommentar, 2</w:t>
      </w:r>
    </w:p>
    <w:p>
      <w:r>
        <w:t>e éd., n. 12 et 17 ad art. 43 LPGA ). La nécessité de mettre en oeuvre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façon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 ATF 125 V 351 consid. 3a p. 352).</w:t>
      </w:r>
    </w:p>
    <w:p>
      <w:r>
        <w:rPr>
          <w:b/>
        </w:rPr>
        <w:t>E. 5.1</w:t>
      </w:r>
    </w:p>
    <w:p>
      <w:r>
        <w:t>Contrairement à ce que soutient le recourant, la juridiction cantonale ne s'est pas contentée de comparer l'expertise de Y.________ avec celles des experts C.________ et M.________. Ce n'est en effet qu'après être arrivée à la conclusion que le projet d'acceptation de rente du 11 novembre 2008 avait été rendu avant que l'instruction du dossier ne fût terminée que les premiers juges ont procédé à une appréciation des preuves en tenant compte des expertises des docteurs C.________ et M.________.</w:t>
      </w:r>
    </w:p>
    <w:p>
      <w:r>
        <w:rPr>
          <w:b/>
        </w:rPr>
        <w:t>E. 5.2</w:t>
      </w:r>
    </w:p>
    <w:p>
      <w:r>
        <w:t>Des faits constatés par la juridiction cantonale, il ressort qu'à la lecture du rapport d'expertise de Y.________, la doctoresse A.________ avait constaté des imprécisions au sujet de la capacité de travail exigible dans une activité adaptée et avait requis des experts des informations complémentaires. Les réponses n'avaient toutefois pas été apportées par les spécialistes ayant rédigé le rapport ou procédé aux expertises mais par un tiers, le docteur R.________, et étaient restées imprécises. Par ailleurs, le secteur LFA entendait examiner le cas après avis du SMR sur la question d'une éventuelle exagération des symptômes, voire d'une simulation, et sur l'absence de traitement anti-dépresseur et de suivi thérapeutique. L'OAI avait à cet effet informé le recourant qu'il requérait des renseignements médicaux complémentaires à la Clinique Y.________ au sujet de l'expertise du 23 mai 2008. Le docteur Q.________, du SMR, avait ensuite préconisé de demander à l'assuré de se soumettre à un traitement antidépresseur avec un suivi de soutien, dans la mesure où l'expert de Y.________ mentionnait que son état de santé pouvait s'améliorer significativement sous ce traitement et de réévaluer la situation dans les six mois. Sur cette base, l'OAI avait adressé un courrier au recourant lui expliquant qu'il envisageait de lui reconnaître le droit à une demi-rentre d'invalidité dès le 16 juin 2004. Toutefois, il l'enjoignait à suivre le traitement médical, précisant qu'un contrôle serait fait régulièrement.</w:t>
      </w:r>
    </w:p>
    <w:p>
      <w:r>
        <w:rPr>
          <w:b/>
        </w:rPr>
        <w:t>E. 5.3</w:t>
      </w:r>
    </w:p>
    <w:p>
      <w:r>
        <w:t>La manière de procéder de l'intimé apparaît conforme au droit. Dans un premier temps, l'OAI a requis des précisions de la part des experts du COMAI, leur appréciation n'ayant pas été jugée suffisamment concluante. Les clarifications apportées par le docteur R.________ sont restées imprécises, voire contradictoires. Par ailleurs, le secteur LFA avait fait part de ses doutes quant à une éventuelle exagération des symptômes. Il avait en outre été demandé expressément à l'assuré de suivre le traitement nécessaire à l'amélioration de son état de santé auprès de son médecin traitant ou d'un psychiatre. Par ailleurs, l'assureur-accidents avait contesté le projet d'acceptation de rente et prévoyait de compléter son dossier par une expertise. Dès lors que l'examen médical ordonné par l'assureur-accident n'avait pas seulement pour but de déterminer le lien de causalité entre l'atteinte psychiatrique et l'accident mais également les incapacité de travail liées à chacune des atteintes (somatique et psychiatrique) et l'évolution de celles-ci, on ne saurait reprocher à l'intimé d'avoir voulu recueillir une "second opinion" à l'encontre de l'expertise du COMAI qui ne lui aurait pas convenu. Un tel reproche aurait tout au plus pu être formulé si l'intimé avait écarté cette expertise sans aucun motif, avant d'en ordonner immédiatement une nouvelle sur les mêmes points à examiner (cf. aussi arrêt 9C_1012/2008 du 30 juin 2009 précité, consid. 3.4).</w:t>
      </w:r>
    </w:p>
    <w:p>
      <w:r>
        <w:rPr>
          <w:b/>
        </w:rPr>
        <w:t>E. 5.4</w:t>
      </w:r>
    </w:p>
    <w:p>
      <w:r>
        <w:t>Se fondant sur l' art. 5 Cst. , le recourant fait en outre valoir qu'en ne donnant pas à son projet de décision du 11 novembre 2008 la forme d'une décision, l'OAI a adopté un comportement contradictoire et trompeur.</w:t>
      </w:r>
    </w:p>
    <w:p>
      <w:r>
        <w:t>Aux termes de l' art. 5 al. 3 Cst. , les organes de l'Etat et les particuliers doivent agir conformément aux règles de la bonne foi. Cela implique notamment qu'ils s'abstiennent d'adopter un comportement contradictoire ou abusif ( ATF 134 V 306 consid. 4.2 p. 312). De ce principe découle notamment, en vertu de l' art. 9 Cst. , le droit de toute personne à la protection de sa bonne foi dans ses relations avec l'Etat (sur le rapport avec l' art. 5 al. 3 Cst. , cf. ATF 136 I 254 consid. 5.2 p. 261 et la référence citée).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p. 636).</w:t>
      </w:r>
    </w:p>
    <w:p>
      <w:r>
        <w:t>Indépendamment de la portée du projet d'acceptation de rente du 11 novembre 2008 sous l'angle de la protection de la bonne foi, il y a lieu de constater que le recourant n'a pas établi ni même prétendu avoir pris des dispositions contraires à ses intérêts et sur lesquelles il ne pouvait plus revenir. Pour cette raison déjà, le moyen soulevé ici est mal fondé.</w:t>
      </w:r>
    </w:p>
    <w:p>
      <w:r>
        <w:rPr>
          <w:b/>
        </w:rPr>
        <w:t>E. 5.5</w:t>
      </w:r>
    </w:p>
    <w:p>
      <w:r>
        <w:t>Il résulte de ce qui précède qu'à l'instar de l'OAI, les premiers juges pouvaient tenir compte des expertises mises en oeuvre par l'assureur-accidents pour évaluer la capacité de travail résiduelle du recourant.</w:t>
      </w:r>
    </w:p>
    <w:p>
      <w:r>
        <w:rPr>
          <w:b/>
        </w:rPr>
        <w:t>E. 6</w:t>
      </w:r>
    </w:p>
    <w:p>
      <w:r>
        <w:t>La juridiction cantonale a considéré, en se fondant sur les conclusions des experts C.________ et M.________, que la capacité de travail du recourant était entière dans toute activité adaptée à ses limitations fonctionnelles dès le 1er juillet 2004 et ce, tant sur les plans somatique que psychique. Dans la mesure où la capacité de travail avait toutefois été réduite de 60 % pendant la période du 16 juin 2003 au 30 juin 2004, la juridiction cantonale a confirmé le droit à un trois-quarts de rente d'invalidité pour la période du 1er juin au 30 septembre 2004. Le recourant ne formule aucun grief à l'encontre des expertises des docteurs C.________ et M.________, de sorte qu'il n'y a pas lieu de remettre en cause le bien-fondé des expertises réalisées par lesdits experts et, partant, le résultat de l'appréciation des preuves opérée par la juridiction cantonale.</w:t>
      </w:r>
    </w:p>
    <w:p>
      <w:r>
        <w:rPr>
          <w:b/>
        </w:rPr>
        <w:t>E. 7</w:t>
      </w:r>
    </w:p>
    <w:p>
      <w:r>
        <w:t>Vu l'issue du litige, les frais judiciaires doivent être mis à la charge du recourant qui succombe ( art. 66 al. 1 LTF ). Il remplit toutefois les conditions du droit à l'assistance judiciaire dont il a requis le bénéfice ( art. 64 LTF ), dès lors que le recours n'était pas d'emblée voué à l'échec, qu'il ne dispose pas de ressources suffisantes et que l'assistance d'un avocat était indiquée. Le recourant sera ainsi provisoirement dispensé de payer les frais de justice et les honoraires de son mandataire d'office seront pris en charge par la caisse du Tribunal; le recourant est toutefois rendu attentif au fait qu'il devra rembourser la caisse du Tribunal, s'il retrouve ultérieurement une situation financière lui permettant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