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8C_667/2011 vom 22. September 2011</w:t>
      </w:r>
    </w:p>
    <w:p>
      <w:r>
        <w:t>Bundesgericht, 2011-09-22, DE</w:t>
      </w:r>
    </w:p>
    <w:p>
      <w:r>
        <w:rPr>
          <w:b/>
        </w:rPr>
        <w:t xml:space="preserve">Quelle: </w:t>
      </w:r>
      <w:r>
        <w:t>https://mcp.opencaselaw.ch/entscheid/bger_8C_667_2011</w:t>
      </w:r>
    </w:p>
    <w:p>
      <w:r>
        <w:t>FR: TF 8C_667/2011 du 22 septembre 2011</w:t>
      </w:r>
    </w:p>
    <w:p>
      <w:r>
        <w:t>IT: TF 8C_667/2011 del 22 settembre 2011</w:t>
      </w:r>
    </w:p>
    <w:p>
      <w:pPr>
        <w:pStyle w:val="Heading2"/>
      </w:pPr>
      <w:r>
        <w:t>Volltext</w:t>
      </w:r>
    </w:p>
    <w:p>
      <w:r>
        <w:t>Bundesgericht</w:t>
      </w:r>
    </w:p>
    <w:p>
      <w:r>
        <w:t>Tribunal fédéral</w:t>
      </w:r>
    </w:p>
    <w:p>
      <w:r>
        <w:t>Tribunale federale</w:t>
      </w:r>
    </w:p>
    <w:p>
      <w:r>
        <w:t>Tribunal federal</w:t>
      </w:r>
    </w:p>
    <w:p>
      <w:r>
        <w:t>{T 0/2}</w:t>
      </w:r>
    </w:p>
    <w:p>
      <w:r>
        <w:t>8C_667/2011</w:t>
      </w:r>
    </w:p>
    <w:p>
      <w:r>
        <w:t>Urteil vom 22. September 2011</w:t>
      </w:r>
    </w:p>
    <w:p>
      <w:r>
        <w:t>I. sozialrechtliche Abteilung</w:t>
      </w:r>
    </w:p>
    <w:p>
      <w:r>
        <w:t>Besetzung</w:t>
      </w:r>
    </w:p>
    <w:p>
      <w:r>
        <w:t>Bundesrichter Ursprung, Präsident,</w:t>
      </w:r>
    </w:p>
    <w:p>
      <w:r>
        <w:t>Gerichtsschreiber Grünvogel.</w:t>
      </w:r>
    </w:p>
    <w:p>
      <w:r>
        <w:t>Verfahrensbeteiligte</w:t>
      </w:r>
    </w:p>
    <w:p>
      <w:r>
        <w:t>M.________,</w:t>
      </w:r>
    </w:p>
    <w:p>
      <w:r>
        <w:t>Beschwerdeführerin,</w:t>
      </w:r>
    </w:p>
    <w:p>
      <w:r>
        <w:t>gegen</w:t>
      </w:r>
    </w:p>
    <w:p>
      <w:r>
        <w:t>Schweizerische Unfallversicherungsanstalt (SUVA), Rechtsabteilung, Postfach 4358, 6002 Luzern,</w:t>
      </w:r>
    </w:p>
    <w:p>
      <w:r>
        <w:t>Beschwerdegegnerin.</w:t>
      </w:r>
    </w:p>
    <w:p>
      <w:r>
        <w:t>Gegenstand</w:t>
      </w:r>
    </w:p>
    <w:p>
      <w:r>
        <w:t>Unfallversicherung (Prozessvoraussetzung),</w:t>
      </w:r>
    </w:p>
    <w:p>
      <w:r>
        <w:t>Beschwerde gegen die Verfügung des Sozialversicherungsgerichts des Kantons Zürich vom 2. August 2011.</w:t>
      </w:r>
    </w:p>
    <w:p>
      <w:r>
        <w:t>Nach Einsicht</w:t>
      </w:r>
    </w:p>
    <w:p>
      <w:r>
        <w:t>in die Beschwerde vom 11. September 2011 (Poststempel) gegen die Verfügung des Sozialversicherungsgerichts des Kantons Zürich vom 2. August 2011,</w:t>
      </w:r>
    </w:p>
    <w:p>
      <w:r>
        <w:t>in Erwägung,</w:t>
      </w:r>
    </w:p>
    <w:p>
      <w:r>
        <w:t>dass die SUVA mit Einspracheentscheid vom 5. April 2011 die M.________ bisher ausgerichteten Taggeldleistungen und allfälligen Heilbehandlungskosten auf den 1. Januar 2011 einstellte und gleichzeitig einer allfällig dagegen gerichteten Beschwerde die aufschiebende Wirkung entzog,</w:t>
      </w:r>
    </w:p>
    <w:p>
      <w:r>
        <w:t>dass M.________ beim Sozialversicherungsgericht des Kantons Zürich dagegen Beschwerde führte und dabei um Wiederherstellung der aufschiebenden Wirkung ersuchte, was das Gericht mit Verfügung vom 2. August 2011 abwies,</w:t>
      </w:r>
    </w:p>
    <w:p>
      <w:r>
        <w:t>dass die angefochtene Verfügung das Verfahren nicht abschliesst, womit kein Endentscheid im Sinne von Art. 90 BGG vorliegt, sondern ein Vor- oder Zwischenentscheid im Sinne von Art. 93 BGG über die Anordnung einer vorsorglichen Massnahme,</w:t>
      </w:r>
    </w:p>
    <w:p>
      <w:r>
        <w:t>dass derartige Zwischenentscheide beim Bundesgericht anfechtbar sind, wenn sie einen nicht wieder gutzumachenden Nachteil bewirken können ( Art. 93 Abs. 1 lit. a BGG ) und wenn auch in der Hauptsache die Beschwerde an das Bundesgericht offensteht (Grundsatz der Einheit des Prozesses; BGE 133 III 645 E. 2.2 S. 647 f.),</w:t>
      </w:r>
    </w:p>
    <w:p>
      <w:r>
        <w:t>dass der nicht wieder gutzumachende Nachteil im Sinne des Art. 93 Abs. 1 lit. a BGG (im Unterschied zu Art. 46 Abs. 1 lit. a VwVG ) grundsätzlich rechtlicher Natur sein muss, d.h. auch durch einen günstigen Endentscheid nicht mehr behoben werden kann, wogegen eine rein tatsächliche oder wirtschaftliche Erschwernis in der Regel nicht genügt ( BGE 134 I 83 E. 3.1 S. 87 mit Hinweisen; vgl. auch THOMAS MERKLI, Vorsorgliche Massnahmen und die aufschiebende Wirkung bei Beschwerden in öffentlich-rechtlichen Angelegenheiten und subsidiären Verfassungsbeschwerden, ZBl 109/2008 S. 416 ff., S. 429),</w:t>
      </w:r>
    </w:p>
    <w:p>
      <w:r>
        <w:t>dass die Beschwerdeführerin weder darlegt noch ersichtlich ist, inwiefern bei ihm ein nicht wieder gutzumachender Nachteil vorliegen könnte, zumal für die ganze Dauer der vorsorglichen Einstellung eine Taggeldnachzahlung erfolgen wird und allfällige Heilbehandlungskosten übernommen werden, falls sich im Beschwerdeverfahren ergeben sollte, dass die Versicherungsleistungen nicht eingestellt werden; für die Zeit bis dahin gestützt auf Art. 70 Abs. 2 lit. a ATSG sodann die Krankenversicherung eine Vorleistungspflicht trifft,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22. September 2011</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