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667/2008 vom 25. Februar 2009</w:t>
      </w:r>
    </w:p>
    <w:p>
      <w:r>
        <w:t>Bundesgericht, 2009-02-25, DE</w:t>
      </w:r>
    </w:p>
    <w:p>
      <w:r>
        <w:rPr>
          <w:b/>
        </w:rPr>
        <w:t xml:space="preserve">Quelle: </w:t>
      </w:r>
      <w:r>
        <w:t>https://mcp.opencaselaw.ch/entscheid/bger_8C_667_2008</w:t>
      </w:r>
    </w:p>
    <w:p>
      <w:r>
        <w:t>FR: TF 8C 667/2008 du 25 février 2009</w:t>
      </w:r>
    </w:p>
    <w:p>
      <w:r>
        <w:t>IT: TF 8C 667/2008 del 25 febbraio 2009</w:t>
      </w:r>
    </w:p>
    <w:p>
      <w:pPr>
        <w:pStyle w:val="Heading2"/>
      </w:pPr>
      <w:r>
        <w:t>Regeste</w:t>
      </w:r>
    </w:p>
    <w:p>
      <w:r>
        <w:t>Arbeitslosenversicherung | Arbeitslosenversicherung</w:t>
      </w:r>
    </w:p>
    <w:p>
      <w:pPr>
        <w:pStyle w:val="Heading2"/>
      </w:pPr>
      <w:r>
        <w:t>Erwägungen</w:t>
      </w:r>
    </w:p>
    <w:p>
      <w:r>
        <w:rPr>
          <w:b/>
        </w:rPr>
        <w:t>E. 1</w:t>
      </w:r>
    </w:p>
    <w:p>
      <w:r>
        <w:t>Das Bundesgericht prüft seine Zuständigkeit und die Eintretensvoraussetzungen von Amtes wegen und mit freier Kognition ( Art. 29 Abs. 1 BGG ; BGE 134 V 138 E. 1 Ingress S. 140 mit Hinweisen).</w:t>
      </w:r>
    </w:p>
    <w:p>
      <w:r>
        <w:rPr>
          <w:b/>
        </w:rPr>
        <w:t>E. 2.1</w:t>
      </w:r>
    </w:p>
    <w:p>
      <w:r>
        <w:t>Der vorliegende Streit dreht sich um eine auf Art. 82 Abs. 1 AVIG gestützte Schadenersatzforderung, wonach der Träger dem Bund für Schäden haftet, die seine Kasse durch mangelhafte Erfüllung ihrer Aufgaben absichtlich oder fahrlässig verursacht. Damit betrifft der vorinstanzliche Entscheid eine in die Zuständigkeit des Bundesgerichts fallende Angelegenheit des öffentlichen Rechts im Sinne von Art. 82 lit. a BGG ( BGE 134 V 138 E. 1.1 S. 140).</w:t>
      </w:r>
    </w:p>
    <w:p>
      <w:r>
        <w:rPr>
          <w:b/>
        </w:rPr>
        <w:t>E. 2.2</w:t>
      </w:r>
    </w:p>
    <w:p>
      <w:r>
        <w:t>Im jüngst ergangenen BGE 8C_688/2008 vom 14. Januar 2009 hat das Bundesgericht entschieden, dass es sich bei der Trägerhaftung nach Art. 82 AVIG um eine vermögensrechtliche Angelegenheit auf dem Gebiet der Staatshaftung im Sinne von Art. 85 Abs. 1 lit. a BGG handelt, woran nichts ändert, dass ein Träger einer privaten Arbeitslosenkasse gegenüber dem Bund haftbar gemacht wird (eben zitiertes Urteil, E. 5). Damit ist die Beschwerde nur zulässig, wenn der Streitwert mindestens Fr. 30'000.- beträgt oder wenn sich eine Rechtsfrage von grundsätzlicher Bedeutung stellt ( Art. 85 Abs. 1 lit. a und Abs. 2 BGG ). Strittig ist lediglich ein Betrag von Fr. 10'000.- (vgl. Art. 51 Abs. 1 lit. a BGG ), womit die vorausgesetzte Streitwertgrenze nicht erreicht ist. Die Beschwerdeführerin macht nicht geltend, es stelle sich eine Rechtsfrage von grundsätzlicher Bedeutung, was auch nicht ersichtlich ist. Auf die Beschwerde ist demnach nicht einzutreten.</w:t>
      </w:r>
    </w:p>
    <w:p>
      <w:r>
        <w:rPr>
          <w:b/>
        </w:rPr>
        <w:t>E. 3</w:t>
      </w:r>
    </w:p>
    <w:p>
      <w:r>
        <w:t>Dem Ausgang des Verfahrens entsprechend hat die Beschwerdeführerin die Gerichtskosten zu tragen ( Art. 66 Abs. 1 BGG ; BGE 133 V 637 E. 4.6 S. 639).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