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666/2022 vom 4. August 2023</w:t>
      </w:r>
    </w:p>
    <w:p>
      <w:r>
        <w:t>Bundesgericht, 2023-08-04, DE</w:t>
      </w:r>
    </w:p>
    <w:p>
      <w:r>
        <w:rPr>
          <w:b/>
        </w:rPr>
        <w:t xml:space="preserve">Quelle: </w:t>
      </w:r>
      <w:r>
        <w:t>https://mcp.opencaselaw.ch/entscheid/bger_8C_666_2022</w:t>
      </w:r>
    </w:p>
    <w:p>
      <w:r>
        <w:t>FR: TF 8C 666/2022 du 4 août 2023</w:t>
      </w:r>
    </w:p>
    <w:p>
      <w:r>
        <w:t>IT: TF 8C 666/2022 del 4 agosto 2023</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beziehen sich grundsätzlich auf Tatfragen, die das Bundesgericht nur mit eingeschränkter Kognition prüft ( BGE 132 V 393 E. 3.2). Dagegen betrifft die Beachtung des Untersuchungsgrundsatzes und der Beweiswürdigungsregeln Rechtsfragen, die das Bundesgericht im Rahmen der den Parteien obliegenden Begründungs- bzw. Rügepflicht frei prüft ( BGE 146 V 240 E. 8.2 mit Hinweisen). Die Feststellung der beiden hypothetischen Vergleichseinkommen schliesslich stellt sich als Tatfrage dar, soweit sie auf konkreter Beweiswürdigung beruht, hingegen als Rechtsfrage, soweit sich der Entscheid nach der allgemeinen Lebenserfahrung richtet. Letzteres betrifft etwa die Frage, ob Tabellenlöhne anwendbar sind, welche die massgebliche Tabelle ist und ob ein (behinderungsbedingt oder anderweitig begründeter) Leidensabzug vorzunehmen sei ( BGE 143 V 295 E. 2.4; 132 V 393 E. 3.3; vgl. auch BGE 146 V 16 E. 4.2 mit Hinweisen).</w:t>
      </w:r>
    </w:p>
    <w:p>
      <w:r>
        <w:rPr>
          <w:b/>
        </w:rPr>
        <w:t>E. 2.1</w:t>
      </w:r>
    </w:p>
    <w:p>
      <w:r>
        <w:t>Streitig und zu prüfen ist, ob das kantonale Gericht Bundesrecht verletzte, indem es in Aufhebung der Verfügung vom 22. Juli 2021 einen Anspruch der Beschwerdegegnerin auf eine Viertelsrente ab 1. April 2018 bejahte. Im Zentrum stehen dabei die Bestimmung der Arbeitsfähigkeit sowie die Ermittlung des Validen- und des Invalideneinkommens. Nicht umstritten ist der Zeitpunkt eines allfälligen Rentenbeginns.</w:t>
      </w:r>
    </w:p>
    <w:p>
      <w:r>
        <w:rPr>
          <w:b/>
        </w:rPr>
        <w:t>E. 2.2</w:t>
      </w:r>
    </w:p>
    <w:p>
      <w:r>
        <w:t>Am 1. Januar 2022 trat das revidierte Bundesgesetz über die Invalidenversicherung (IVG; SR 831.20) in Kraft (Weiterentwicklung der IV [WEIV]; Änderung vom 19. Juni 2020, AS 2021 705, BBl 2017 2535). Die dem angefochtenen Urteil zu 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Die Vorinstanz legte die massgeblichen Rechtsgrundlagen zur Erwerbsunfähigkeit ( Art. 7 ATSG ), zur Invalidität ( Art. 8 Abs. 1 ATSG , Art. 4 Abs. 1 IVG ) und zum Anspruch auf eine Invalidenrente ( Art. 28 Abs. 2 IVG ) korrekt dar. Richtig sind auch die Ausführungen zur Bestimmung der dem Einkommensvergleich zu Grunde zu legenden Vergleichseinkommen mit und ohne invalidisierenden Gesundheitsschaden ( Art. 16 ATSG ; BGE 144 I 103 E. 5.1 bis 5.3). Darauf wird verwiesen.</w:t>
      </w:r>
    </w:p>
    <w:p>
      <w:r>
        <w:rPr>
          <w:b/>
        </w:rPr>
        <w:t>E. 3.1</w:t>
      </w:r>
    </w:p>
    <w:p>
      <w:r>
        <w:t>Was zunächst die Festsetzung der Arbeits (un) fähigkeit anbelangt, qualifizierte das kantonale Gericht das Gutachten der Dres. med. B.________ und von C.________ vom 3. April 2020 als beweiskräftig. Gestützt darauf stellte es fest, die Beschwerdegegnerin sei seit April 2017 in ihrer bisherigen Tätigkeit im Gerätebau vollumfänglich und in einer adaptierten Tätigkeit zu 44 % arbeitsunfähig.</w:t>
      </w:r>
    </w:p>
    <w:p>
      <w:r>
        <w:rPr>
          <w:b/>
        </w:rPr>
        <w:t>E. 3.2</w:t>
      </w:r>
    </w:p>
    <w:p>
      <w:r>
        <w:t>Die Beschwerdeführerin rügt eine offensichtlich unrichtige Sachverhaltsfeststellung und Beweiswürdigung.</w:t>
      </w:r>
    </w:p>
    <w:p>
      <w:r>
        <w:rPr>
          <w:b/>
        </w:rPr>
        <w:t>E. 3.2.1</w:t>
      </w:r>
    </w:p>
    <w:p>
      <w:r>
        <w:t>Wie die Vorinstanz darlegte, hielten die Gutachter Dres. med. B.________ und von C.________ in ihrer Konsensbeurteilung vom 3. April 2020 fest, der Beschwerdegegnerin sei in einer angepassten Tätigkeit maximal eine Präsenz von sechs Stunden pro Tag (70 %) möglich. Das Rendement sei aber aufgrund einer Leistungsminderung sowie eines erhöhten Pausenbedarfs zusätzlich um 20 % eingeschränkt, weshalb in einer ideal adaptierten Tätigkeit eine 50%ige Arbeitsfähigkeit bestehe. Auf Nachfrage der IV-Stelle um Erläuterung und Präzisierung der attestierten 50%igen Restarbeitsfähigkeit hin räumten die Gutachter mit Eingabe vom 23. Februar 2021 einen Rechnungsfehler ein und verwiesen auf das Schreiben des Dr. med. von C.________ vom 9. Februar 2021. Dort hatte dieser festgehalten, dass sich bei einer durchschnittlichen Arbeitszeit von acht Stunden und einer Präsenzzeit von sechs Stunden tatsächlich eine Restarbeitsfähigkeit von 75 % und unter Berücksichtigung der 20%igen Leistungsminderung von rund 60 % ergebe. Dies legte die IV-Stelle ihrer Verfügung vom 22. Juli 2021 zu Grunde.</w:t>
      </w:r>
    </w:p>
    <w:p>
      <w:r>
        <w:rPr>
          <w:b/>
        </w:rPr>
        <w:t>E. 3.2.2</w:t>
      </w:r>
    </w:p>
    <w:p>
      <w:r>
        <w:t>Die Nachfrage bei den Gutachtern erfolgte, wie auch das kantonale Gericht einräumte, aufgrund von Diskrepanzen bei der Festsetzung der Arbeitsfähigkeit in der Konsensbeurteilung vom 3. April 2020. So war einerseits nicht plausibel, weshalb aus einem Pensum von sechs Stunden pro Tag eine Arbeitsfähigkeit von 70 % resultieren soll, liesse dies doch auf eine unübliche Normalarbeitszeit von 8.57 Stunden täglich schliessen. Andererseits war nicht nachvollziehbar, weshalb die zusätzliche Leistungsminderung von 20 % von der Arbeitsfähigkeit von 70 % subtrahiert statt verhältnismässig berücksichtigt wurde. Entsprechend korrigierten die Gutachter in der ergänzenden Eingabe vom 23. Februar 2021 die Restarbeitsfähigkeit auf 75 % und unter verhältnismässiger Berücksichtigung der zusätzlichen Leistungsminderung von 20 % auf 60 % (80 % von 75 %). Dass das eingeschränkte Rendement nicht durch Subtraktion, sondern durch verhältnismässige Anrechnung zu berücksichtigen war, wurde im angefochtenen Entscheid zu Recht bestätigt. Die vorinstanzliche Reduktion der Restarbeitsfähigkeit entsprechend dem Verhältnis eines Pensums von sechs Stunden und einer täglichen Arbeitszeit von 8.4 Stunden auf rund 70 % basiert jedoch auf einer aktenwidrigen Feststellung. Die Gutachter wie auch die Beschwerdeführerin referenzierten auf eine tägliche Normalarbeitszeit von acht Stunden, was gemäss Angaben der ehemaligen Arbeitgeberin vom 25. April 2016 auch dem effektiven Pensum der Beschwerdegegnerin entsprach, und woraus sich eine Arbeitsfähigkeit von 75 % ergab. In der ohne Rückfrage bei den Gutachtern erfolgten Abweichung durch das kantonale Gericht liegt eine willkürliche Sachverhaltsfeststellung und Beweiswürdigung.</w:t>
      </w:r>
    </w:p>
    <w:p>
      <w:r>
        <w:rPr>
          <w:b/>
        </w:rPr>
        <w:t>E. 3.2.3</w:t>
      </w:r>
    </w:p>
    <w:p>
      <w:r>
        <w:t>Der Vollständigkeit halber ist mit der Beschwerdeführerin darauf hinzuweisen, dass die vorinstanzliche Reduktion der Restarbeitsfähigkeit von 75 % auf 70 % bzw. unter verhältnismässiger Berücksichtigung des eingeschränkten Rendements von 60 % auf 56 % selbst bei einer durchschnittlichen Normalarbeitszeit als Referenzgrösse nicht korrekt wäre. Gemäss der vom Bundesamt für Statistik herausgegebenen Tabelle zur betriebsüblichen Arbeitszeit nach Wirtschaftsabteilungen (T 03.02.03.01.04.01) werden in der Schweiz nämlich seit Jahren durchschnittlich 41.7 Wochenstunden gearbeitet. Aus der Gegenüberstellung mit dem der Beschwerdegegnerin noch zumutbaren Pensum von 30 (6 x 5) Stunden pro Woche ergäbe sich eine Restarbeitsfähigkeit von rund 72 % und unter verhältnismässiger Berücksichtigung der zusätzlichen Leistungsminderung von rund 58 % (80 % von 72 %).</w:t>
      </w:r>
    </w:p>
    <w:p>
      <w:r>
        <w:rPr>
          <w:b/>
        </w:rPr>
        <w:t>E. 3.3</w:t>
      </w:r>
    </w:p>
    <w:p>
      <w:r>
        <w:t>Nach Gesagtem bleibt es bei der gutachterlich attestierten Restarbeitsfähigkeit von 60 % in einer adaptierten Tätigkeit und damit bei einer Arbeitsunfähigkeit von 40 %.</w:t>
      </w:r>
    </w:p>
    <w:p>
      <w:r>
        <w:rPr>
          <w:b/>
        </w:rPr>
        <w:t>E. 4.1</w:t>
      </w:r>
    </w:p>
    <w:p>
      <w:r>
        <w:t>Die Beschwerdeführerin rügt im Weiteren eine rechtsfehlerhafte Invaliditätsbemessung durch die Vorinstanz. In der Regel hat bei erwerbstätigen Versicherten ein Einkommensvergleich ( Art. 16 ATSG )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(vgl. Urteil 8C_104/2021 vom 27. Juni 2022 E. 6.2, nicht publ. in: BGE 148 V 321 ; Urteil 8C_213/2022 vom 4. August 2022 E. 4.6.1 mit Hinweis).</w:t>
      </w:r>
    </w:p>
    <w:p>
      <w:r>
        <w:rPr>
          <w:b/>
        </w:rPr>
        <w:t>E. 4.2</w:t>
      </w:r>
    </w:p>
    <w:p>
      <w:r>
        <w:t>Das kantonale Gericht erwog, infolge Kündigung der Anstellung der Beschwerdegegnerin seien vorliegend als Valideneinkommen die Tabellenlöhne der Schweizerischen Lohnstrukturerhebung des Bundesamts für Statistik (LSE) und dort das Durchschnittseinkommen von Frauen für Arbeiten des Kompetenzniveaus 1 im Jahr 2015 in der Höhe von Fr. 54'055.- heranzuziehen. Für die Festsetzung des Invalideneinkommens stellte die Vorinstanz auf denselben Tabellenlohnwert ab, da kein tatsächlich erzieltes Erwerbseinkommen gegeben sei und die in diesem Kompetenzniveau enthaltenen Tätigkeiten dem ärztlich attestierten Zumutbarkeitsprofil entsprechen würden. Sie legte im Weiteren dar, dass kein Grund für einen Abzug vom Tabellenlohn bestehe, weshalb der Invaliditätsgrad dem Grad der Arbeitsunfähigkeit von 44 % entspreche.</w:t>
      </w:r>
    </w:p>
    <w:p>
      <w:r>
        <w:rPr>
          <w:b/>
        </w:rPr>
        <w:t>E. 4.3</w:t>
      </w:r>
    </w:p>
    <w:p>
      <w:r>
        <w:t>Soweit die Beschwerdeführerin bezüglich Festsetzung des Valideneinkommens zunächst rügt, die Kündigung sei ein unzulässiges Kriterium, weil diese zu einer Zeit erfolgt sei, als die Beschwerdegegnerin bereits erkrankt gewesen sei, belegt sie den behaupteten Zusammenhang mit den gesundheitlichen Beschwerden nicht weiter. Zudem stellt sie in der Beschwerde ebenfalls auf den von der Vorinstanz beigezogenen Tabellenlohn ab, weshalb diesbezüglich auf Weiterungen verzichtet werden kann. Nicht gefolgt werden kann der Beschwerdeführerin sodann insoweit, als sie geltend macht, als Valideneinkommen seien nur 95 % des vorinstanzlich bestimmten Tabellenlohnwerts einzusetzen, da die Beschwerdegegnerin im Gesundheitsfall weiterhin bei der E.________ AG gearbeitet und ein Einkommen auf unverändert tiefem Niveau erzielt hätte. Abgesehen davon, dass die Weiterarbeit bei der bisherigen Arbeitgeberin im Gesundheitsfall, wie in vorstehendem Absatz erwähnt, nicht belegt wurde, entfällt eine Parallelisierung bereits deswegen, weil die Festsetzung des Valideneinkommens anhand der statistischen Werte der LSE erfolgte und daher ein allenfalls unter den branchenüblichen Ansätzen liegendes bisheriges Einkommen nicht relevant ist.</w:t>
      </w:r>
    </w:p>
    <w:p>
      <w:r>
        <w:rPr>
          <w:b/>
        </w:rPr>
        <w:t>E. 4.4</w:t>
      </w:r>
    </w:p>
    <w:p>
      <w:r>
        <w:t>Nach Gesagtem ist es weder willkürlich noch sonstwie bundesrechtswidrig, dass die Vorinstanz das Validen- und das Invalideneinkommen ausgehend vom gleichen Tabellenlohn bemessen hat. Dass das kantonale Gericht bundesrechtswidrig keinen leidensbedingten Abzug gewährt habe, wird zu Recht nicht gerügt. Bei dieser Ausgangslage erübrigt es sich, die ziffernmässige Festlegung der Vergleichseinkommen zu überprüfen, da der Invaliditätsgrad dem Grad der Arbeitsunfähigkeit entspricht (vgl. E. 4.1 hiervor). Der vorinstanzlich auf 44 % festgesetzte Invaliditätsgrad ist indes auf 40 % zu reduzieren, ist doch, wie in E. 3 hiervor aufgezeigt, von einer Restarbeitsfähigkeit von 60 % und von einer Arbeitsunfähigkeit von 40 % auszugehen. Dies ändert aber nichts daran, dass die Beschwerdegegnerin Anspruch auf eine Viertelsrente hat. Beim angefochtenen Entscheid hat es daher im Ergebnis, Anspruch auf eine Viertelsrente ab 1. April 2018, sein Bewenden.</w:t>
      </w:r>
    </w:p>
    <w:p>
      <w:r>
        <w:rPr>
          <w:b/>
        </w:rPr>
        <w:t>E. 5.1</w:t>
      </w:r>
    </w:p>
    <w:p>
      <w:r>
        <w:t>Dem Verfahrensausgang entsprechend sind die Gerichtskosten der unterliegenden Beschwerdeführerin aufzuerlegen ( Art. 66 Abs. 1 Satz 1 BGG ).</w:t>
      </w:r>
    </w:p>
    <w:p>
      <w:r>
        <w:rPr>
          <w:b/>
        </w:rPr>
        <w:t>E. 5.2</w:t>
      </w:r>
    </w:p>
    <w:p>
      <w:r>
        <w:t>Die Beschwerdeführerin hat überdies der Beschwerdegegnerin eine angemessene Parteientschädigung auszurichten (Art. 68 Abs. 1 f. BGG). Der Rechtsanwalt der Beschwerdegegnerin reichte am 12. Januar 2021 eine Kostennote im Sinne von Art. 12 Abs. 2 des Reglements über die Parteientschädigung und die Entschädigung für die amtliche Vertretung im Verfahren vor dem Bundesgericht (SR 173.110.210.3) in Höhe von Fr. 4'242.30 (inklusive Mehrwertsteuer) ein. Der für die Begründung der Beschwerdeantwort geltend gemachte Arbeitsaufwand von 15.15 Stunden ist mit Blick darauf, dass der zu beurteilende Fall weder in sachverhaltlicher noch in rechtlicher Hinsicht besonders komplex war, unangemessen hoch. Es rechtfertigt sich, die Entschädigung auf den Normalansatz von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