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8C_666/2020 vom 3. November 2020</w:t>
      </w:r>
    </w:p>
    <w:p>
      <w:r>
        <w:t>Bundesgericht, 2020-11-03, DE</w:t>
      </w:r>
    </w:p>
    <w:p>
      <w:r>
        <w:rPr>
          <w:b/>
        </w:rPr>
        <w:t xml:space="preserve">Quelle: </w:t>
      </w:r>
      <w:r>
        <w:t>https://mcp.opencaselaw.ch/entscheid/bger_8C_666_2020</w:t>
      </w:r>
    </w:p>
    <w:p>
      <w:r>
        <w:t>FR: TF 8C_666/2020 du 3 novembre 2020</w:t>
      </w:r>
    </w:p>
    <w:p>
      <w:r>
        <w:t>IT: TF 8C_666/2020 del 3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8C_666/2020</w:t>
      </w:r>
    </w:p>
    <w:p>
      <w:r>
        <w:t>Urteil vom 3. November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Arbeit,</w:t>
      </w:r>
    </w:p>
    <w:p>
      <w:r>
        <w:t>Rechtsdienst, Unterstrasse 22, 9000 St. Gallen,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Versicherungsgerichts des Kantons St. Gallen</w:t>
      </w:r>
    </w:p>
    <w:p>
      <w:r>
        <w:t>vom 12. August 2020 (AVI 2019/58).</w:t>
      </w:r>
    </w:p>
    <w:p>
      <w:r>
        <w:t>Nach Einsicht</w:t>
      </w:r>
    </w:p>
    <w:p>
      <w:r>
        <w:t>in die Beschwerde vom 26. Oktober 2020 gegen den Entscheid des Versicherungsgerichts des Kantons St. Gallen vom 12. August 2020,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den vom kantonalen Amt für Wirtschaft und Arbeit verweigerten Erlass der Rückforderung von zu Unrecht ausgerichteten Taggeldern in der Höhe von Fr. 6567.85 wegen fehlender Gutgläubigkeit bestätigte,</w:t>
      </w:r>
    </w:p>
    <w:p>
      <w:r>
        <w:t>dass der Beschwerdeführer auf die dazu ergangenen Erwägungen nicht näher eingeht, geschweige denn aufzeigt, inwiefern die vom kantonalen Gericht getroffenen Sachverhaltsfeststellungen im Sinne von Art. 97 Abs. 1 BGG unzutreffend (d.h. unhaltbar, willkürlich: BGE 135 II 145 E. 8.1 S. 153) und die darauf beruhenden Erwägungen rechtsfehlerhaft sein sollen; lediglich auf das noch laufende Strafrechtsverfahren in nämlicher Angelegenheit zu verweisen, reicht nicht aus,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sich damit auch das Gesuch um Verfahrenssistierung bis zum Entscheid des Strafgerichts als gegenstandslos geworden erweist,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Staatssekretariat für Wirtschaft (SECO) schriftlich mitgeteilt.</w:t>
      </w:r>
    </w:p>
    <w:p>
      <w:r>
        <w:t>Luzern, 3. November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