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8C_665/2024 vom 5. Dezember 2024</w:t>
      </w:r>
    </w:p>
    <w:p>
      <w:r>
        <w:t>Bundesgericht, 2024-12-05, DE</w:t>
      </w:r>
    </w:p>
    <w:p>
      <w:r>
        <w:rPr>
          <w:b/>
        </w:rPr>
        <w:t xml:space="preserve">Quelle: </w:t>
      </w:r>
      <w:r>
        <w:t>https://mcp.opencaselaw.ch/entscheid/bger_8C_665_2024</w:t>
      </w:r>
    </w:p>
    <w:p>
      <w:r>
        <w:t>FR: TF 8C_665/2024 du 5 décembre 2024</w:t>
      </w:r>
    </w:p>
    <w:p>
      <w:r>
        <w:t>IT: TF 8C_665/2024 del 5 dicembre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23. Oktober 2024 in Auseinandersetzung mit den Parteivorbringen und in Würdigung der Akten das Nichteintreten der Beschwerdegegnerin auf die im Februar 2023 eingereichte Neuanmeldung der Beschwerdeführerin zum Leistungsbezug (Verfügung vom 15. Juni 2023).</w:t>
      </w:r>
    </w:p>
    <w:p>
      <w:r>
        <w:rPr>
          <w:b/>
        </w:rPr>
        <w:t>E. 3</w:t>
      </w:r>
    </w:p>
    <w:p>
      <w:r>
        <w:t>Die Beschwerdeführerin zeigt nicht auf, inwieweit die von der Vorinstanz getroffenen Sachverhaltsfeststellungen offensichtlich unrichtig (vgl. Art. 97 Abs. 1 BGG ) - mithin willkürlich ( BGE 146 IV 88 E. 1.3.1 f. und 140 III 115 E. 2; je mit Hinweisen) - oder sonstwie bundesrechtswidrig sein sollen. Ebenso wenig tut sie dar, weshalb die darauf beruhenden Erwägungen gegen Bundesrecht verstossen oder einen anderen Beschwerdegrund (vgl. Art. 95 lit. a-e BGG ) gesetzt haben könnten. Allein pauschal zu behaupten, die Verhältnisse hätten sich seit der letzten materiellen Beurteilung vom 5. Februar 2021 ( BGE 130 V 71 E. 3.2.2; vorinstanzliches Urteil E. 3) geändert, und diesbezüglich um nähere Prüfung zu ersuchen,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