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8C_665/2019 vom 16. Oktober 2019</w:t>
      </w:r>
    </w:p>
    <w:p>
      <w:r>
        <w:t>Bundesgericht, 2019-10-16, DE</w:t>
      </w:r>
    </w:p>
    <w:p>
      <w:r>
        <w:rPr>
          <w:b/>
        </w:rPr>
        <w:t xml:space="preserve">Quelle: </w:t>
      </w:r>
      <w:r>
        <w:t>https://mcp.opencaselaw.ch/entscheid/bger_8C_665_2019</w:t>
      </w:r>
    </w:p>
    <w:p>
      <w:r>
        <w:t>FR: TF 8C_665/2019 du 16 octobre 2019</w:t>
      </w:r>
    </w:p>
    <w:p>
      <w:r>
        <w:t>IT: TF 8C_665/2019 del 16 ottobre 2019</w:t>
      </w:r>
    </w:p>
    <w:p>
      <w:pPr>
        <w:pStyle w:val="Heading2"/>
      </w:pPr>
      <w:r>
        <w:t>Volltext</w:t>
      </w:r>
    </w:p>
    <w:p>
      <w:r>
        <w:t>Bundesgericht</w:t>
      </w:r>
    </w:p>
    <w:p>
      <w:r>
        <w:t>Tribunal fédéral</w:t>
      </w:r>
    </w:p>
    <w:p>
      <w:r>
        <w:t>Tribunale federale</w:t>
      </w:r>
    </w:p>
    <w:p>
      <w:r>
        <w:t>Tribunal federal</w:t>
      </w:r>
    </w:p>
    <w:p>
      <w:r>
        <w:t>8C_665/2019</w:t>
      </w:r>
    </w:p>
    <w:p>
      <w:r>
        <w:t>Urteil vom 16. Oktober 2019</w:t>
      </w:r>
    </w:p>
    <w:p>
      <w:r>
        <w:t>I. sozialrechtliche Abteilung</w:t>
      </w:r>
    </w:p>
    <w:p>
      <w:r>
        <w:t>Besetzung</w:t>
      </w:r>
    </w:p>
    <w:p>
      <w:r>
        <w:t>Bundesrichter Maillard, Präsident,</w:t>
      </w:r>
    </w:p>
    <w:p>
      <w:r>
        <w:t>Gerichtsschreiberin Berger Götz.</w:t>
      </w:r>
    </w:p>
    <w:p>
      <w:r>
        <w:t>Verfahrensbeteiligte</w:t>
      </w:r>
    </w:p>
    <w:p>
      <w:r>
        <w:t>A.________,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Verwaltungsgerichts des Kantons Bern vom 28. August 2019 (200 19 292 UV).</w:t>
      </w:r>
    </w:p>
    <w:p>
      <w:r>
        <w:t>Nach Einsicht</w:t>
      </w:r>
    </w:p>
    <w:p>
      <w:r>
        <w:t>in die Beschwerde vom 25. September 2019 (Poststempel) gegen den Entscheid des Verwaltungsgerichts des Kantons Bern vom 28. August 2019,</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w:t>
      </w:r>
    </w:p>
    <w:p>
      <w:r>
        <w:t>dass die Vorinstanz - in teilweiser Gutheissung der vor kantonalem Gericht eingereichten Beschwerde - die Rückforderung der Suva für zu viel ausbezahlte Taggelder von Fr. 23'806.15 auf Fr. 10'871.10 herabsetzte, weil sie die Rückforderung der vor dem 14. Dezember 2017 ausgerichteten Taggeldleistungen als verspätet qualifizierte,</w:t>
      </w:r>
    </w:p>
    <w:p>
      <w:r>
        <w:t>dass der Beschwerdeführer keinen Antrag stellt und auch nicht konkret auf die Erwägungen des kantonalen Gerichts eingeht, geschweige denn aufzeigt, inwiefern die vorinstanzlichen Sachverhaltsfeststellungen unzutreffend im Sinne von Art. 97 Abs. 2 BGG und die darauf beruhenden Erwägungen rechtsfehlerhaft (vgl. Art. 95 BGG ) sein sollen; lediglich zu behaupten, er hätte der Suva die Unterlagen (zur korrekten Berechnung der Taggeldhöhe) eingereicht, wenn diese ihn schriftlich dazu aufgefordert hätte, darauf hinzuweisen, dass ihn die Rückforderung in den finanziellen Ruin treiben würde, und zu verlangen, es sei an seinen Arbeitgeber "heranzutreten", der zugesichert habe, dass er "dafür geradesteht und es übernimmt", reicht bei weitem nicht aus,</w:t>
      </w:r>
    </w:p>
    <w:p>
      <w:r>
        <w:t>dass dieser Begründungsmangel offensichtlich ist,</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und dem Bundesamt für Gesundheit schriftlich mitgeteilt.</w:t>
      </w:r>
    </w:p>
    <w:p>
      <w:r>
        <w:t>Luzern, 16. Oktober 2019</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