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8C_663/2017 vom 12. Dezember 2017</w:t>
      </w:r>
    </w:p>
    <w:p>
      <w:r>
        <w:t>Bundesgericht, 2017-12-12, DE</w:t>
      </w:r>
    </w:p>
    <w:p>
      <w:r>
        <w:rPr>
          <w:b/>
        </w:rPr>
        <w:t xml:space="preserve">Quelle: </w:t>
      </w:r>
      <w:r>
        <w:t>https://mcp.opencaselaw.ch/entscheid/bger_8C_663_2017</w:t>
      </w:r>
    </w:p>
    <w:p>
      <w:r>
        <w:t>FR: TF 8C_663/2017 du 12 décembre 2017</w:t>
      </w:r>
    </w:p>
    <w:p>
      <w:r>
        <w:t>IT: TF 8C_663/2017 del 12 dicembre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die Rentenaufhebung auf Ende des der Zustellung der Verfügung vom 27. April 2016 folgenden Monats nicht bestätigte und die Beschwerdeführerin verpflichtete, der Versicherten weiterhin eine ganze Rente der Invalidenversicherung auszurichten.</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Rechtsprechungsgemäss bewirkt eine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(SVR 2010 IV Nr. 8 S. 25, 9C_48/2009 E. 2.3; ZAK 1984 S. 345, I 583/82 E. 3; Urteil 8C_372/2012 vom 13. Juni 2013 E. 2.2 mit Hinweisen).</w:t>
      </w:r>
    </w:p>
    <w:p>
      <w:r>
        <w:rPr>
          <w:b/>
        </w:rPr>
        <w:t>E. 3.3</w:t>
      </w:r>
    </w:p>
    <w:p>
      <w:r>
        <w:t>Ebenfalls keine Invalidität begründen nach ständiger Rechtsprechung Alkoholismus, Medikamentenmissbrauch und Drogensucht. Dagegen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(AHI 2002 S. 30, I 454/99 E. 2a; Urteil 8C_48/2012 vom 3. Dezember 2012 E. 2.3).</w:t>
      </w:r>
    </w:p>
    <w:p>
      <w:r>
        <w:rPr>
          <w:b/>
        </w:rPr>
        <w:t>E. 3.4</w:t>
      </w:r>
    </w:p>
    <w:p>
      <w:r>
        <w:t>Ändert sich der Invaliditätsgrad eines Rentenbezügers erheblich, so wird gemäss Art. 17 ATSG die Rente von Amtes wegen oder auf Gesuch hin für die Zukunft entsprechend erhöht, herabgesetzt oder aufgehoben. Die Frage der wesentlichen Änderung in den tatsächlichen Verhältnissen beurteilt sich im vorliegenden Fall unbestrittenermassen durch Vergleich des Sachverhalts, wie er im Zeitpunkt der ursprünglichen Rentenverfügung bestanden hat, mit demjenigen zur Zeit der streitigen Revisionsverfügung ( BGE 134 V 131 E. 3 S. 132 f.).</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4.1</w:t>
      </w:r>
    </w:p>
    <w:p>
      <w:r>
        <w:t>Das kantonale Gericht hat in umfassender Würdigung der medizinischen Akten für das Bundesgericht grundsätzlich verbindlich festgestellt, dass sich der Gesundheitszustand der Versicherten seit der ursprünglichen Rentenzusprache nicht erheblich verändert hat. Zwar liege formell keine posttraumatische Belastungsstörung (PTBS) mehr vor, aufgrund der morbiden Adipositas sowie der Opioid-Analgetika-Abhängigkeit sei allerdings im Zeitpunkt der rentenaufhebenden Verfügung eine vollständige Arbeitsunfähigkeit gegeben.</w:t>
      </w:r>
    </w:p>
    <w:p>
      <w:r>
        <w:rPr>
          <w:b/>
        </w:rPr>
        <w:t>E. 4.2</w:t>
      </w:r>
    </w:p>
    <w:p>
      <w:r>
        <w:t>Bei den vorinstanzlichen Feststellungen zum Gesundheitszustand und zur Arbeitsfähigkeit der versicherten Person handelt es sich grundsätzlich um Entscheidungen über eine Tatfrage ( BGE 132 V 393 E. 3.2 S. 397 ff.), die das Bundesgericht seiner Urteilsfindung zugrunde zu legen hat (E. 1.3).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4.3</w:t>
      </w:r>
    </w:p>
    <w:p>
      <w:r>
        <w:t>Die durch das kantonale Gericht getroffenen Tatsachenfeststellungen, namentlich die aus den medizinischen Unterlagen gewonnenen Erkenntnisse, sind im letztinstanzlichen Prozess grundsätzlich verbindlich.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eventueller gesundheitlicher Beeinträchtigungen verbleibenden Arbeitsfähigkeit zu korrigieren (vgl. auch Urteil 8C_537/2017 vom    29. September 2017 E. 5). Einzugreifen hat das Bundesgericht jedoch dann, wenn die vorinstanzlichen Feststellungen auf einer offensichtlich unrichtigen Interpretation oder einer willkürlichen Würdigung der massgeblichen Akten beruhen.</w:t>
      </w:r>
    </w:p>
    <w:p>
      <w:r>
        <w:rPr>
          <w:b/>
        </w:rPr>
        <w:t>E. 4.4</w:t>
      </w:r>
    </w:p>
    <w:p>
      <w:r>
        <w:t>Die beschwerdeführende IV-Stelle erblickt eine erhebliche Veränderung des Gesundheitszustandes der Versicherten und damit einen Revisionsgrund im Umstand, dass die ursprüngliche Rentenzusprache aufgrund der erwerblichen Folgen einer (PTBS) erfolgte, die Gutachter des ABI aber eine entsprechende Diagnose nicht mehr bestätigten. Wie die Vorinstanz zutreffend erwogen hat, ergibt sich aus dem Gutachten nicht mit hinreichender Deutlichkeit, ob die Experten des ABI bezüglich der PTBS tatsächlich von einer Verbesserung des Gesundheitszustandes ausgingen, oder ob es sich hiebei um eine bloss abweichende Beurteilung eines im Wesentlichen gleich gebliebenen Sachverhaltes handelt. Die Frage braucht jedoch, wie bereits das kantonale Gericht richtig erkannt hat, nicht abschliessend geklärt zu werden: Geht man von einer bloss abweichenden Beurteilung eines gleich gebliebenen Sachverhaltes aus, wäre ein Revisionsgrund zu verneinen und die Beschwerde der IV-Stelle ohne weiteres abzuweisen. Interpretiert man die Gutachter im Sinne einer Verbesserung des Gesundheitszustandes, so führt dies - wie nachstehende Erwägungen zeigen - ebenfalls nicht zu einer Rentenaufhebung.</w:t>
      </w:r>
    </w:p>
    <w:p>
      <w:r>
        <w:rPr>
          <w:b/>
        </w:rPr>
        <w:t>E. 5</w:t>
      </w:r>
    </w:p>
    <w:p>
      <w:r>
        <w:t>Aus allgemein-internistischer Sicht attestieren die Gutachter des ABI der Versicherten eine 100%-ige Arbeitsunfähigkeit wegen morbider Adipositas bei einem Body-Mass-Index (BMI) von 65,8 kg/m2. Wie die IV-Stelle zutreffend geltend macht, ist eine aufgrund einer Adipositas bestehende Arbeitsunfähigkeit nicht in jedem Fall invalidenversicherungsrechtlich relevant (vgl. E. 3.2 hievor). Die ergänzende Stellungnahme der Experten des ABI vom 29. Dezember 2015, es sei kein körperliches oder psychisches Leiden ersichtlich, welches die Adipositas ursächlich begründen könnte, ist bei einer Annahme einer in der Zwischenzeit verbesserten PTBS (vgl. E. 4.4 hievor) nicht ohne weiteres nachvollziehbar. Letztlich braucht indessen - jedenfalls für den Moment - auch die Frage nach der invalidenversicherungsrechtlichen Relevanz der Adipositas (wie auch des mitbeteiligten Schmerzgeschehens) nicht abschliessend geklärt zu werden: Die Gutachter des ABI attestieren der Versicherten eine 100%-ige Arbeitsunfähigkeit auch aus psychiatrischer Sicht, im Wesentlichen aufgrund einer Opioid-Analgetika-Abhängigkeit. Diese ist klarerweise aufgrund der Medikamente entstanden, welche die Versicherte zur Behandlung der als somatisch imponierenden, allerdings offensichtlich psychisch überlagerten Schmerzen erhielt. Damit ist die Abhängigkeit als krankheitsbedingt entstanden und als invalidenversicherungsrechtlich relevant zu betrachten (vgl. auch E. 3.3 hievor).</w:t>
      </w:r>
    </w:p>
    <w:p>
      <w:r>
        <w:rPr>
          <w:b/>
        </w:rPr>
        <w:t>E. 5.1</w:t>
      </w:r>
    </w:p>
    <w:p>
      <w:r>
        <w:t>Wie die IV-Stelle zutreffend erkannt hat, besteht aufgrund der Ausführungen der Experten des ABI Anlass zur Zuversicht, dass der Gesundheitszustand der Versicherten und damit mittelbar ihre Arbeitsfähigkeit durch geeignete medizinische Behandlungsmassnahmen (Entzugstherapie, bariatrischer Eingriff) wesentlich verbessert werden kann. Ob ein Behandlungserfolg eintritt, kann indessen erst nach Abschluss der entsprechenden Behandlung beurteilt werden. Sollte sich die Versicherte wider Erwarten weigern, sich der in ihrem eigenen Interesse liegenden Behandlung zu unterziehen, so käme allenfalls eine Sistierung der Rente nach Art. 21 Abs. 4 ATSG in Frage. Voraussetzung hiefür wäre indessen ein rechtskonform durchgeführtes Mahn- und Bedenkzeitverfahren; das gleichzeitig mit dem Vorbescheid versandte Schreiben der IV-Stelle vom 3. Februar 2016 genügt dazu nicht. Auch die grundsätzlich gute Prognose ändert aber nichts am Umstand, dass die Vorinstanz kein Bundesrecht verletzt hat, als sie von einer vollen Arbeitsunfähigkeit der Versicherten im Zeitpunkt der rentenaufhebenden Verfügung ausging und diese entsprechend aufhob. Die Beschwerde der IV-Stelle erweist sich damit als unbegründet und ist abzuweisen.</w:t>
      </w:r>
    </w:p>
    <w:p>
      <w:r>
        <w:rPr>
          <w:b/>
        </w:rPr>
        <w:t>E. 6.1</w:t>
      </w:r>
    </w:p>
    <w:p>
      <w:r>
        <w:t>Dem Prozessausgang entsprechend sind die Gerichtskosten der unterliegenden IV-Stelle aufzuerlegen ( Art. 66 Abs. 1 BGG ). Diese hat der Beschwerdegegnerin überdies eine Parteientschädigung zu bezahlen ( Art. 68 Abs. 1 und 2 BGG ; vgl. auch BGE 135 V 473 ).</w:t>
      </w:r>
    </w:p>
    <w:p>
      <w:r>
        <w:rPr>
          <w:b/>
        </w:rPr>
        <w:t>E. 6.2</w:t>
      </w:r>
    </w:p>
    <w:p>
      <w:r>
        <w:t>Mit diesem Entscheid in der Sache wird das Gesuch der IV-Stelle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