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8C_660/2007 vom 14. August 2008</w:t>
      </w:r>
    </w:p>
    <w:p>
      <w:r>
        <w:t>Bundesgericht, 2008-08-14, DE</w:t>
      </w:r>
    </w:p>
    <w:p>
      <w:r>
        <w:rPr>
          <w:b/>
        </w:rPr>
        <w:t xml:space="preserve">Quelle: </w:t>
      </w:r>
      <w:r>
        <w:t>https://mcp.opencaselaw.ch/entscheid/bger_8C_660_2007</w:t>
      </w:r>
    </w:p>
    <w:p>
      <w:r>
        <w:t>FR: TF 8C_660/2007 du 14 août 2008</w:t>
      </w:r>
    </w:p>
    <w:p>
      <w:r>
        <w:t>IT: TF 8C_660/2007 del 14 agosto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Allerdings bleibt auch in diesen Fällen eine freie gerichtliche Ermessensprüfung im Sinne der Angemessenheitskontrolle, welche u.a. im Bereich der Bewilligung oder Verweigerung von Versicherungsleistungen nach UVG gemäss dem bis am 31. Dezember 2006 gültig gewesenen Art. 132 Abs. 1 lit. a OG letztinstanzlich zulässig war, mit Inkrafttreten des BGG zum 1. Januar 2007 nunmehr ausgeschlossen (Ulrich Meyer, in: Basler Kommentar zum Bundesgerichtsgesetz, Basel 2008, N 30 zu Art. 105 BGG ; Markus Schott, in: Basler Kommentar zum Bundesgerichtsgesetz, Basel 2008, N 26 zu Art. 97 BGG ).</w:t>
      </w:r>
    </w:p>
    <w:p>
      <w:r>
        <w:rPr>
          <w:b/>
        </w:rPr>
        <w:t>E. 2</w:t>
      </w:r>
    </w:p>
    <w:p>
      <w:r>
        <w:t>Streitig und zu prüfen ist vorliegend, ob die Entschädigung der unbestrittenermassen dauernden erheblichen Schädigung der körperlichen und geistigen Integrität mit 40 % rechtmässig ist.</w:t>
      </w:r>
    </w:p>
    <w:p>
      <w:r>
        <w:rPr>
          <w:b/>
        </w:rPr>
        <w:t>E. 3.1</w:t>
      </w:r>
    </w:p>
    <w:p>
      <w:r>
        <w:t>Die Vorinstanz hat die Bestimmungen und Grundsätze über den Anspruch auf eine Integritätsentschädigung ( Art. 24 und 25 UVG ; Art. 36 UVV ), insbesondere infolge eines psychischen Leidens ( BGE 124 V 29 und 209), und deren Ermittlung durch Anwendung der Skala in Anhang 3 zur UVV sowie der von der Medizinischen Abteilung der SUVA erarbeiteten Tabellen (sog. Feinraster; BGE 124 V 29 E. 1b und c S. 32 f., 209 E. 4a/cc S. 211; vgl. ferner RKUV 1998 Nr. U 296 S. 235 E. 2a, U 245/96, je mit Hinweisen) zutreffend dargelegt. Darauf wird verwiesen. Gleiches gilt für die Ausführungen zum Beweiswert und zur Würdigung medizinischer Berichte und Stellungnahmen ( BGE 125 V 351 E. 3a S. 352 mit Hinweisen).</w:t>
      </w:r>
    </w:p>
    <w:p>
      <w:r>
        <w:rPr>
          <w:b/>
        </w:rPr>
        <w:t>E. 3.2</w:t>
      </w:r>
    </w:p>
    <w:p>
      <w:r>
        <w:t>Zudem gilt zu beachten, dass die Beurteilung der einzelnen Integritätseinbussen den ärztlichen Sachverständigen obliegt. Dem Gericht ist es nicht möglich, die Beurteilung aufgrund der aktenkundigen Diagnosen selber vorzunehmen, da die Ausschöpfung des in den Tabellen offengelassenen Bemessungsspielraums entsprechende Fachkenntnisse voraussetzt (RKUV 1998 Nr. U 296 S. 239 E. 2d, U 245/96; vgl. auch Urteil des Eidgenössischen Versicherungsgerichts U 191/00 vom 13. Januar 2002, E. 2c, wonach es sich bei der Bestimmung des Schweregrades einer gesundheitlichen Beeinträchtigung um eine Tatfrage handelt, für deren Beantwortung Verwaltung und Gerichte auf fachärztliche Mithilfe angewiesen sind, da von einem medizinischen Laien eine zuverlässige Zuordnung nicht erwartet werden kann).</w:t>
      </w:r>
    </w:p>
    <w:p>
      <w:r>
        <w:rPr>
          <w:b/>
        </w:rPr>
        <w:t>E. 4.1</w:t>
      </w:r>
    </w:p>
    <w:p>
      <w:r>
        <w:t>Nach zutreffender Wiedergabe der umfassenden medizinischen Aktenlage hat die Vorinstanz erwogen, dass beim Beschwerdeführer ausgehend von einer mittelschweren psychischen Störung die zugesprochene Integritätsentschädigung von 40 % nicht zu beanstanden sei. Sie stützte sich dabei zu Recht auf das psychiatrische Gutachten des Dr. med. P.________ (vom 2. März 2005), dem sie korrekterweise volle Beweiskraft beimass. Dieses Gutachten erfüllt alle rechtsprechungsgemässen Anforderungen an eine beweistaugliche und beweiskräftige medizinische Entscheidungsgrundlage ( BGE 125 V 351 E. 3a S. 352). Indizien, die gegen die Zuverlässigkeit dieses versicherungsinternen Aktengutachtens sprechen (RKUV 1993 Nr. U 167 S. 95; nicht publ. E. 5b des Urteils BGE 114 V 109 , veröffentlicht in RKUV 1988 Nr. U 56 S. 366; vgl. auch Urteile U 181/06 vom 21. Juni 2007, E. 2.3, und U 223/06 vom 8. Februar 2007, E. 5.1.2; BGE 125 V 351 E. 3b/ee S. 353 f. mit Hinweisen) sind nicht gegeben. Was der Beschwerdeführer dagegen einwendet überzeugt nicht. Insbesondere ist nicht nachvollziehbar, inwiefern der Psychiater Dr. med. P.________ für die Schätzung des Gesamtschadens ( Art. 36 Abs. 3 UVV ), bei dem der psychische Schaden den Schwerpunkt bildet, nicht zuständig sein soll, zumal ein zusätzlicher unfallbedingter Schaden am Bewegungsapparat, wie geltend gemacht wird, nicht ausgewiesen ist bzw. sich dafür auch kein Hinweis in den Akten finden lässt. Von ergänzenden medizinischen Abklärungen, wie beantragt, sind keine neuen Erkenntnisse zu erwarten, weshalb davon in antizipierter Beweiswürdigung ( BGE 124 V 90 E. 4b S. 94; 122 V 157 E. 1d S. 162) abgesehen werden kann.</w:t>
      </w:r>
    </w:p>
    <w:p>
      <w:r>
        <w:rPr>
          <w:b/>
        </w:rPr>
        <w:t>E. 4.2</w:t>
      </w:r>
    </w:p>
    <w:p>
      <w:r>
        <w:t>Wie die Vorinstanz richtig erwog, hätte die Einschätzung der Integritätseinbusse zwar wohl eher aufgrund der SUVA-Tabelle 8 (SUVA-Feinrastertabelle 8 bei psychischen Folgen von Hirnverletzungen) erfolgen sollen und nicht in Anwendung der allgemeineren SUVA-Tabelle 19 (bei psychischen Folgen von Unfällen), nachdem die psychischen Unfallfolgen überwiegend auf eine objektivierbare traumatische Hirnschädigung zurückzuführen sind und ein organisches Psychosyndrom nach Schädelhirntrauma diagnostiziert worden ist. Mit der Vorinstanz ändert dies im konkreten Fall jedoch nichts, da die jeweilige Definition der mittelschweren psychischen Störung und die entsprechenden Richtwerte in beiden Tabellen vergleichbar sind. Es kann auf die zutreffenden Ausführungen im angefochtenen Entscheid verwiesen werden. Was die Höhe des Integritätsschadens betrifft, wurde festgestellt, dass die zugesprochene Integritätsentschädigung von 40 % den festgelegten Richtwerten zwischen einer leichten bis mittelschweren und einer mittelschweren psychischen Störung entspreche, was nicht zu beanstanden sei. Dem ist grundsätzlich beizupflichten. Die Festlegung des Integritätsschadens bei 40 % innerhalb der Bandbreite der Richtwerte für mittelschwere psychische Störungen ist zwar eher tief, aber unter Berücksichtigung der gesamten Umstände (komplexes und multifaktoriell bedingtes Krankheitsbild, unfallfremde Faktoren) vertretbar. Eine rechtsfehlerhafte Handhabung des Ermessens (vgl. E. 1.2) ist nicht ersichtlich, zumal insbesondere die Einordnung von Nichtlisten- und kombinierten Fällen dem Arzt oder der Aerztin einen grossen Ermessensspielraum eröffnet. Mithin besteht vorliegend kein Anlass, in den Bemessungsspielraum der Verwaltung einzugreifen. Die Einwendungen des Beschwerdeführers, welche grösstenteils bereits im angefochtenen Entscheid zutreffend entkräftet wurden, vermögen nicht zu einem anderen Ergebnis zu führen. Insbesondere ist die geltend gemachte Integritätseinbusse für die Beeinträchtigung der psychischen Teilfunktionen wie Gedächtnis und Konzentrationsfähigkeit bereits durch die Einschätzung entsprechend der SUVA-Tabelle (19 bzw. 8) abgegolten. Zudem kann nicht von der Höhe des festgelegten Invaliditätsgrades auf eine entsprechend hohe Integritätsentschädigung geschlossen werden. Im Übrigen beurteilt sich die Schwere des Integritätsschadens allein nach dem medizinischen Befund; allfällige individuelle Besonderheiten der versicherten Person bleiben unberücksichtigt ( BGE 115 V 147 E. 1, 113 V 221 E. 4b mit Hinweisen).</w:t>
      </w:r>
    </w:p>
    <w:p>
      <w:r>
        <w:rPr>
          <w:b/>
        </w:rPr>
        <w:t>E. 5</w:t>
      </w:r>
    </w:p>
    <w:p>
      <w:r>
        <w:t>Das Verfahren ist kostenpflichtig (Art. 65 Abs. 1 und Abs. 4 lit. a BGG). Die Gerichtskosten werden dem unterliegenden Beschwerdeführer auferlegt ( Art. 66 Abs. 1 BGG ). Dem Gesuch um unentgeltliche Prozessführung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