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8C_65/2022 vom 3. Juni 2022</w:t>
      </w:r>
    </w:p>
    <w:p>
      <w:r>
        <w:t>Bundesgericht, 2022-06-03, DE</w:t>
      </w:r>
    </w:p>
    <w:p>
      <w:r>
        <w:rPr>
          <w:b/>
        </w:rPr>
        <w:t xml:space="preserve">Quelle: </w:t>
      </w:r>
      <w:r>
        <w:t>https://mcp.opencaselaw.ch/entscheid/bger_8C_65_2022</w:t>
      </w:r>
    </w:p>
    <w:p>
      <w:r>
        <w:t>FR: TF 8C_65/2022 du 3 juin 2022</w:t>
      </w:r>
    </w:p>
    <w:p>
      <w:r>
        <w:t>IT: TF 8C_65/2022 del 3 giugno 2022</w:t>
      </w:r>
    </w:p>
    <w:p>
      <w:pPr>
        <w:pStyle w:val="Heading2"/>
      </w:pPr>
      <w:r>
        <w:t>Erwägungen</w:t>
      </w:r>
    </w:p>
    <w:p>
      <w:r>
        <w:rPr>
          <w:b/>
        </w:rPr>
        <w:t>E. 1.1</w:t>
      </w:r>
    </w:p>
    <w:p>
      <w:r>
        <w:t>Die Vorinstanz hat in Dispositiv-Ziffer 1 ihres Entscheids vom 22. Dezember 2021 den Invaliditätsgrad verbindlich auf 50 % festgelegt und die Sache im Sinne der Erwägungen zur Bestimmung des versicherten Verdienstes und zur Festsetzung und Ausrichtung der Rentenleistung an die Beschwerdeführerin zurückgewiesen (vgl. Sachverhalt lit. C).</w:t>
      </w:r>
    </w:p>
    <w:p>
      <w:r>
        <w:rPr>
          <w:b/>
        </w:rPr>
        <w:t>E. 1.2</w:t>
      </w:r>
    </w:p>
    <w:p>
      <w:r>
        <w:t>Formell handelt es sich beim angefochtenen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f.). Wenn jedoch der unteren Instanz, an welche zurückgewiesen wird, kein Entscheidungsspielraum mehr verbleibt und die Rückweisung nur noch der Umsetzung des oberinstanzlich Angeordneten dient, handelt es sich in Wirklichkeit um einen Endentscheid (SVR 2008 IV Nr. 39 S. 131, 9C_684/2007 E. 1 mit Hinweisen). Der Entscheid, mit dem die Vorinstanz die Rentenhöhe (hier basierend auf einer Erwerbsunfähigkeit von 50 %), nicht aber den frankenmässigen Rentenbetrag festsetzt und der zur Höhe des versicherten Verdienstes verbindliche Vorgaben enthält, ist daher als Endentscheid zu qualifizieren. Auf die Beschwerde des Unfallversicherers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Vorinstanz Bundesrecht verletzte, indem sie der Beschwerdegegnerin ab 1. März 2020 eine Invalidenrente bei einem Invaliditätsgrad von 50 % zusprach. Der Streit dreht sich dabei namentlich um die Frage, ob im kantonalen Entscheid die zu bestimmenden hypothetischen Vergleichseinkommen zu Recht aufgrund eines unterdurchschnittlichen Valideneinkommens parallelisiert wurden.</w:t>
      </w:r>
    </w:p>
    <w:p>
      <w:r>
        <w:rPr>
          <w:b/>
        </w:rPr>
        <w:t>E. 4.1</w:t>
      </w:r>
    </w:p>
    <w:p>
      <w:r>
        <w:t>Die Vorinstanz erwog, gestützt auf das beweiswertige Gutachten der medexperts AG sei der Beschwerdegegnerin in Beachtung aller drei Unfallereignisse aufgrund der anhaltenden Beschwerden am linken Sprunggelenk/Unterschenkel sowie an der rechten Schulter ihre zuletzt ausgeübte Tätigkeit als Hilfsköchin nicht mehr zumutbar. Leidensangepasste Tätigkeiten könne sie jedoch weiterhin in einem Umfang von 50 % ausüben. Auf neurologischer und psychiatrischer Ebene seien keine unfallkausalen Beschwerden gegeben. Mit dem beschriebenen Zumutbarkeitsprofil (leichte körperliche Tätigkeiten in sitzender Arbeitsposition ohne grobe Arbeiten mit dem rechten Arm [wie mit einem schweren Hammer, Schlagbohrer, Graben mit einer Schaufel etc.]) sei den Schmerzen und Funktionsbeeinträchtigungen in diesen Körperregionen genügend Rechnung getragen.</w:t>
      </w:r>
    </w:p>
    <w:p>
      <w:r>
        <w:rPr>
          <w:b/>
        </w:rPr>
        <w:t>E. 4.2</w:t>
      </w:r>
    </w:p>
    <w:p>
      <w:r>
        <w:t>Der Invaliditätsbemessung legte die Vorinstanz bezüglich des Invalideneinkommens einen tabellarischen Wert von monatlich Fr. 4371.- zugrunde, entsprechend dem Totalwert der Tabellenlöhne der Schweizerischen Lohnstrukturerhebung (LSE) 2018 des Bundesamtes für Statistik, Tabelle TA1, tirage skill level, Frauen, Kompetenzniveau 1. Angepasst an die betriebsübliche wöchentliche Arbeitszeit von 41,7 Stunden und indexiert per 2020 ergab dies ein jährliches Invalideneinkommen von Fr. 55'614.- (Fr. 4371.- x 12 / 40 x 41,7 x 1.009 x 1.008). Zum Valideneinkommen führte die Vorinstanz aus, die Beschwerdegegnerin hätte ohne Unfall im Jahre 2015 bei einem Pensum von 80 % als Hilfsköchin unbestritten Fr. 35'880.- verdient. Hochgerechnet auf ein 100%-Pensum und nominallohnindexiert bis 2020 resultiere ein Lohn von Fr. 46'350.-. Es gebe keinerlei Anhaltspunkte, dass sie freiwillig auf ein Einkommen in der Höhe des durchschnittlichen Hilfsarbeiterlohns verzichtet habe. Es sei vielmehr anzunehmen, dass die Unterdurchschnittlichkeit ihres Validenlohns auf die Zwänge des realen Arbeitsmarkts zurückzuführen sei, weshalb die Vorinstanz im Sinne einer Parallelisierung das Valideneinkommen ebenfalls anhand des Tabellenlohns für Hilfsarbeiterinnen (Total) ermittelte. Aus dem Vergleich von Validen- und Invalideneinkommen resultierte ein Invaliditätsgrad von 50 %, entsprechend dem Grad der Arbeitsunfähigkeit.</w:t>
      </w:r>
    </w:p>
    <w:p>
      <w:r>
        <w:rPr>
          <w:b/>
        </w:rPr>
        <w:t>E. 5</w:t>
      </w:r>
    </w:p>
    <w:p>
      <w:r>
        <w:t>Die Beschwerdeführerin wendet dagegen ein, neuester Rechtsprechung gemäss könne ein Valideneinkommen, das dem Mindestlohn gemäss GAV entspreche, nicht als unterdurchschnittlich bezeichnet werden, auch wenn es erheblich unter dem LSE-Lohnniveau liege, weshalb für die Parallelisierung der Vergleichseinkommen kein Anlass bestehe. Dies werde damit begründet, dass der Mindestverdienst gemäss GAV das branchenübliche Einkommen präziser abbilde als der entsprechende LSE-Lohn.</w:t>
      </w:r>
    </w:p>
    <w:p>
      <w:r>
        <w:t>Für Mitarbeiter ohne Berufslehre habe der Mindestlohn gemäss Landesgesamtarbeitsvertrag [LGAV] des Gastgewerbes im Jahr 2015 Fr. 3407.- monatlich betragen. Die Beschwerdegegnerin habe bei einer Hochrechnung auf ein Vollzeitpensum Fr. 3450.- im Jahr 2015 erzielt, weshalb es nicht als unterdurchschnittlich zu bezeichnen sei. Der angefochtene Entscheid verletze diesbezüglich Bundesrecht. Zudem werde bestritten, dass sich die Beschwerdegegnerin nicht aus freien Stücke mit ihrem tiefen Einkommen begnügt habe. Soweit sich die "Suchtpersönlichkeit" leistungsmindernd ausgewirkt habe, stehe dies nicht im Zusammenhang mit den Unfallereignissen und sei daher für die Invaliditätsbemessung unbeachtlich. Die aufgrund der Epilepsie und der Polytoxikomanie notwendige medikamentöse Einstellung der Beschwerdegegnerin bewirke eine erhebliche Einschränkung der unfallbedingten Arbeitsfähigkeit von 50 %. Daher könne Art. 28 Abs. 3 UVV als Sonderfall für die Bestimmung des Invaliditätsgrads herangezogen werden, der bei dauernd herabgesetzter Leistungsfähigkeit aufgrund einer nicht versicherten Gesundheitsschädigung vor dem Unfall zur Anwendung gelange. Die Erhöhung dieses Valideneinkommens oder die Anwendung der Parallelisierungspraxis würde dazu führen, dass Art. 28 Abs. 3 UVV praktisch "toter Buchstabe" bliebe.</w:t>
      </w:r>
    </w:p>
    <w:p>
      <w:r>
        <w:rPr>
          <w:b/>
        </w:rPr>
        <w:t>E. 6.1.1</w:t>
      </w:r>
    </w:p>
    <w:p>
      <w:r>
        <w:t>Rechtsprechungsgemäss ist bei der Invaliditätsbemessung nach Art. 16 ATSG zu berücksichtigen, dass eine versicherte Person in der Tätigkeit, die sie als Gesunde ausgeführt hatte, aus invaliditätsfremden Gründen (zum Beispiel geringe Schulbildung, fehlende berufliche Ausbildung, mangelnde Deutschkenntnisse, beschränkte Anstellungsmöglichkeiten wegen Saisonnierstatus) ein deutlich unterdurchschnittliches Erwerbseinkommen bezog, sofern keine Anhaltspunkte dafür bestehen, dass sie sich aus freien Stücken mit einem bescheidenen Einkommen begnügen wollte. Dadurch wird der Grundsatz gewahrt, dass die auf invaliditätsfremde Gesichtspunkte zurückzuführenden Lohneinbussen entweder überhaupt nicht oder aber bei beiden Vergleichseinkommen gleichmässig zu berücksichtigen sind (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Werts erfolgen ( BGE 135 V 297 E. 6.1; 134 V 322 E. 4.1 mit Hinweisen; vgl. auch Urteil 8C_256/2021 vom 9. März 2022 E. 6.4, zur Publikation vorgesehen).</w:t>
      </w:r>
    </w:p>
    <w:p>
      <w:r>
        <w:rPr>
          <w:b/>
        </w:rPr>
        <w:t>E. 6.1.2</w:t>
      </w:r>
    </w:p>
    <w:p>
      <w:r>
        <w:t>Der Validenlohn kann jedoch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(Urteile 8C_541/2021 vom 18. Mai 2022 E. 4.2.2; 8C_461/2021 vom 3. März 2021 E. 4.2.1; 8C_310/2020 vom 23. Juli 2020 E. 2 und 3; 8C_88/2020 vom 14. April 2020 E. 3.2.2; 8C_141/2016 vom 17. Mai 2016 E. 5.2.2).</w:t>
      </w:r>
    </w:p>
    <w:p>
      <w:r>
        <w:rPr>
          <w:b/>
        </w:rPr>
        <w:t>E. 6.2</w:t>
      </w:r>
    </w:p>
    <w:p>
      <w:r>
        <w:t>Als Hilfsköchin der B.________ GmbH, einem unbestrittenermassen dem LGAV des Gastgewerbes unterstellten Betrieb, verdiente die Beschwerdegegnerin mit einem Pensum von 80 % Fr. 2760.- monatlich; hochgerechnet auf ein 100%-iges Pensum ergibt dies Fr. 3450.- pro Monat. Gemäss dem für die Prüfung der Unterdurchschnittlichkeit hier massgebenden LGAV des Gastgewerbes für das Jahr 2015 betrug der Mindestlohn für Mitarbeiter ohne Berufslehre für ein vollzeitliches Pensum Fr. 3407.-. Ihr Valideneinkommen liegt somit über den Mindestvorgaben des LGAV des Gastgewerbes, weshalb es rechtsprechungsgemäss grundsätzlich nicht als unterdurchschnittlich bezeichnet werden kann, selbst wenn es unter dem LSE-Lohnniveau (Tabelle TA1_tirage_skill_level, Kompetenzniveau 1, Frauen) im Gastgewerbe liegt. Für eine Parallelisierung der Vergleichseinkommen besteht kein Raum. Der vorinstanzliche Entscheid verletzt in diesem Punkt Bundesrecht. Damit bleibt es beim von der Beschwerdeführerin festgesetzten Valideneinkommen von Fr. 46'350.- und dem von ihr ermittelten Invaliditätsgrad von 40 %. Auf die weiteren Vorbringen in der Beschwerde braucht bei diesem Ergebnis nicht eingegangen zu werden. Die Beschwerde ist begründet.</w:t>
      </w:r>
    </w:p>
    <w:p>
      <w:r>
        <w:rPr>
          <w:b/>
        </w:rPr>
        <w:t>E. 7</w:t>
      </w:r>
    </w:p>
    <w:p>
      <w:r>
        <w:t>Die unterliegende Beschwerdegegnerin trägt die Gerichtskosten ( Art. 66 Abs. 1 BGG ). Die SWICA, die in ihrem amtlichen Wirkungskreis obsiegt, hat keinen Anspruch auf Parteientschädigung ( Art. 68 Abs. 3 BGG ). Die Sache wird zur Neuverlegung der Parteientschädigung an die Vorinstanz zurückgewiesen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