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8C_659/2021 vom 17. Februar 2022</w:t>
      </w:r>
    </w:p>
    <w:p>
      <w:r>
        <w:t>Bundesgericht, 2022-02-17, FR</w:t>
      </w:r>
    </w:p>
    <w:p>
      <w:r>
        <w:rPr>
          <w:b/>
        </w:rPr>
        <w:t xml:space="preserve">Quelle: </w:t>
      </w:r>
      <w:r>
        <w:t>https://mcp.opencaselaw.ch/entscheid/bger_8C_659_2021</w:t>
      </w:r>
    </w:p>
    <w:p>
      <w:r>
        <w:t>FR: TF 8C_659/2021 du 17 février 2022</w:t>
      </w:r>
    </w:p>
    <w:p>
      <w:r>
        <w:t>IT: TF 8C_659/2021 del 17 febbraio 2022</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142 II 20 consid. 1.2; 134 II 124 consid. 1.3). En revanche,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144 III 253 consid. 1.4 et les références). Tel étant le cas en l'espèce, le recours, déposé dans le délai ( art. 100 LTF ) et la forme ( art. 42 LTF ) prévus par la loi, est donc recevable.</w:t>
      </w:r>
    </w:p>
    <w:p>
      <w:r>
        <w:rPr>
          <w:b/>
        </w:rPr>
        <w:t>E. 2.1</w:t>
      </w:r>
    </w:p>
    <w:p>
      <w:r>
        <w:t>Au vu de l'arrêt entrepris et des conclusions de la recourante, le litige porte uniquement sur le point de savoir si la juridiction cantonale a violé le droit fédéral en retenant que le revenu d'invalide devait être fixé en tenant compte d'un abattement de 15 %.</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 au plus ( ATF 129 V 472 consid. 4.2.3; 126 V 75 consid. 5b/aa- cc).</w:t>
      </w:r>
    </w:p>
    <w:p>
      <w:r>
        <w:rPr>
          <w:b/>
        </w:rPr>
        <w:t>E. 3.3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137 V 71 consid. 5.1).</w:t>
      </w:r>
    </w:p>
    <w:p>
      <w:r>
        <w:rPr>
          <w:b/>
        </w:rPr>
        <w:t>E. 4.1</w:t>
      </w:r>
    </w:p>
    <w:p>
      <w:r>
        <w:t>Retenant que l'intimé approchait de la soixantaine et présentait une boiterie importante, les juges cantonaux ont exposé qu'il devait respecter un certain nombre de limitations et adapter sa place de travail si besoin. L'intéressé n'avait en outre aucune formation et n'avait pas travaillé durant les dix dernières années en raison de son état de santé. Il avait par ailleurs été éloigné du marché du travail ensuite de son premier accident subi en 1997 et disposait d'une expérience professionnelle limitée. Selon l'instance précédente, l'ensemble de ces circonstances avaient une incidence sur les perspectives salariales de l'intimé, même dans le cadre de l'exercice d'une activité physique ou manuelle simple, de sorte que la recourante aurait dû tenir compte d'un abattement de 15 % sur le revenu d'invalide.</w:t>
      </w:r>
    </w:p>
    <w:p>
      <w:r>
        <w:rPr>
          <w:b/>
        </w:rPr>
        <w:t>E. 4.2</w:t>
      </w:r>
    </w:p>
    <w:p>
      <w:r>
        <w:t>La recourante fait grief aux premiers juges d'avoir retenu un abattement de 15 % en violation des principes posés par la jurisprudence. Elle leur reproche d'avoir pris en compte l'âge de l'intimé - qui venait d'avoir 58 ans au moment déterminant et était donc éloigné de l'âge donnant droit à une rente de l'AVS - comme critère d'abattement. Ce serait également à tort que la cour cantonale a considéré que l'éloignement de l'intimé du marché du travail durant dix ans était de nature à le pénaliser sur le plan des perspectives salariales; l'assuré aurait repris le travail à temps plein de 2002 et 2010 et le profil d'exigence des activités ressortant du niveau de compétence 1 de l'ESS, appliqué en l'espèce, serait peu élevé. Enfin, les limitations fonctionnelles de l'intimé ne le prétériteraient pas sur le marché de l'emploi.</w:t>
      </w:r>
    </w:p>
    <w:p>
      <w:r>
        <w:rPr>
          <w:b/>
        </w:rPr>
        <w:t>E. 4.3.1</w:t>
      </w:r>
    </w:p>
    <w:p>
      <w:r>
        <w:t>Les juges cantonaux ont constaté que l'intimé était en mesure d'exercer une activité à plein temps sans diminution de rendement si l'activité respectait ses limitations fonctionnelles. Il convient donc d'examiner si celles-ci sont susceptibles d'influencer ses perspectives salariales. L'intimé doit alterner les positions assises et debout, éviter le port de charges supérieures à 10-15 kilos de manière répétée, ne pas monter sur des échelles et ne pas se déplacer de manière prolongée, surtout en terrain irrégulier. Au regard des activités physiques ou manuelles simples que recouvrent les secteurs de la production et des services (ESS 2018, tableau TA1_skill_level, niveau de compétence 1), un nombre suffisant d'entre elles correspondent à des travaux légers respectant les limitations fonctionnelles de l'intimé. Une déduction supplémentaire sur le salaire statistique ne se justifie donc pas pour tenir compte des circonstances liées à son handicap. En effet, un abattement n'entre en considération que si, sur un marché du travail équilibré, il n'y a plus un éventail suffisamment large d'activités accessibles à l'assuré (cf. arrêt 8C_118/2021 du 21 décembre 2021 consid. 6.3.1 et la référence).</w:t>
      </w:r>
    </w:p>
    <w:p>
      <w:r>
        <w:rPr>
          <w:b/>
        </w:rPr>
        <w:t>E. 4.3.2</w:t>
      </w:r>
    </w:p>
    <w:p>
      <w:r>
        <w:t>S'agissant du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 art. 28 al. 4 OLAA (cf. arrêts 8C_597/2020 du 16 juin 2021 consid. 5.2.5 et la référence citée; 8C_122/2019 du 10 septembre 2019 consid. 4.3.2). Cette question peut encore demeurer indécise, dès lors que le tribunal cantonal n'a pas exposé - et on ne voit pas - en quoi les perspectives salariales de l'intimé seraient concrètement réduites sur un marché du travail équilibré à raison de son âge. Il ressort en revanche du dossier qu'ensuite de son premier accident, l'intéressé a pu retrouver un travail entre 2002 et 2010. Il dispose ainsi d'une certaine capacité d'adaptation sur le plan professionnel, susceptible de compenser les désavantages compétitifs liés à son âge, surtout dans le domaine des emplois non qualifiés qui sont, en règle générale, disponibles indépendamment de l'âge de l'intéressé sur un marché du travail équilibré (cf. ATF 146 V 16 consid. 7.2.1; arrêt 8C_597/2020 précité consid. 5.2.4 et les références citées). Quant à l'absence d'expérience et de formation, elle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(cf. arrêts 8C_118/2021 précité consid. 6.3.2; 8C_175/2020 du 22 septembre 2020 consid. 4.2).</w:t>
      </w:r>
    </w:p>
    <w:p>
      <w:r>
        <w:rPr>
          <w:b/>
        </w:rPr>
        <w:t>E. 4.4</w:t>
      </w:r>
    </w:p>
    <w:p>
      <w:r>
        <w:t>Il s'ensuit que la juridiction cantonale a opéré à tort un abattement de 15 %. Le recours se révèle dès lors bien fondé. Comme exposé par la recourante, la comparaison des revenus sans tenir compte d'un tel abattement sur le revenu d'invalide débouche - que l'on se base sur un revenu mensuel sans invalidité de 5414 fr. ou de 5500 fr. - sur un taux inférieur au seuil légal ouvrant le droit à une rente d'invalidité. Par conséquent, l'arrêt attaqué doit être annulé et la décision sur opposition du 31 août 2020 doit être confirmée.</w:t>
      </w:r>
    </w:p>
    <w:p>
      <w:r>
        <w:rPr>
          <w:b/>
        </w:rPr>
        <w:t>E. 5</w:t>
      </w:r>
    </w:p>
    <w:p>
      <w:r>
        <w:t>L'intimé, qui succombe, supportera les frais judiciaires ( art. 66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